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4CFBBDC"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318/2021</w:t>
      </w:r>
    </w:p>
    <w:p w14:paraId="4066D5AB"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594/2021</w:t>
      </w:r>
    </w:p>
    <w:p w14:paraId="441FC66E"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0029.288902/2021-82</w:t>
      </w:r>
    </w:p>
    <w:p w14:paraId="120C447A"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BABBFFA"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Permanente: Bebedouros, a fim de atender as demandas apresentadas pelas Unidades Educacionais e Coordenadorias Regionais de Educação da rede estadual de ensino vinculadas à Secretaria de Estado da Educação – </w:t>
      </w:r>
      <w:r>
        <w:rPr>
          <w:rFonts w:ascii="Calibri" w:hAnsi="Calibri" w:cs="Calibri"/>
          <w:b/>
          <w:bCs/>
          <w:color w:val="000000"/>
          <w:sz w:val="27"/>
          <w:szCs w:val="27"/>
        </w:rPr>
        <w:t>SEDUC,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6F0DADA"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088894"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1F6C7620"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Permanente: Bebedouros, a fim de atender as demandas apresentadas pelas Unidades Educacionais e Coordenadorias Regionais de Educação da rede estadual de ensino vinculadas à Secretaria de Estado da Educação – </w:t>
      </w:r>
      <w:r>
        <w:rPr>
          <w:rFonts w:ascii="Calibri" w:hAnsi="Calibri" w:cs="Calibri"/>
          <w:b/>
          <w:bCs/>
          <w:color w:val="000000"/>
          <w:sz w:val="27"/>
          <w:szCs w:val="27"/>
        </w:rPr>
        <w:t>SEDUC</w:t>
      </w:r>
      <w:r>
        <w:rPr>
          <w:rFonts w:ascii="Calibri" w:hAnsi="Calibri" w:cs="Calibri"/>
          <w:color w:val="000000"/>
          <w:sz w:val="27"/>
          <w:szCs w:val="27"/>
        </w:rPr>
        <w:t>.</w:t>
      </w:r>
    </w:p>
    <w:p w14:paraId="1EFC73BB"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F0990F"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0A2CC346"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724BFA57"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7CFD85C"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AC2BE6"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71CCE4E"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7233F34"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3CA8ED"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8294977"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02F42B02"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2297DB"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628AC3E"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61647E7E"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7559BE9"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A4B2850"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05669C5"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E2462D6"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F09564"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C9FFB84"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080B6CA"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4F15A4C"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Os materiais/bens deverão ser entregues, no prazo de até 30 (trinta) dias corridos, contados a partir do primeiro dia útil após o recebimento da Nota de Empenho – NE ou outro documento equivalente, em remessa única, devidamente embalado, sem avarias.</w:t>
      </w:r>
    </w:p>
    <w:p w14:paraId="0A21D347"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a serem adquiridos deverão ser entregues na Gerência de Almoxarifado e Patrimônio da Secretaria de Estado da Educação - GAP/SEDUC, na Rua dos Imigrantes, nº 1699, Bairro São Sebastião II,  CEP: 76.801 -659, ao lado do IDARON, em Porto Velho-RO, de segunda a sexta-feira, no horário das 07h30m às 13h30min, mediante prévio agendamento junto ao GAP/SEDUC, pelos telefones: (69) 3216-5901 e (69) 3216-5923. Posteriormente, será procedida a entrega desses às Unidades Educacionais contempladas no momento da aquisição.</w:t>
      </w:r>
    </w:p>
    <w:p w14:paraId="4EB31113"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A2EE47"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739BF49A"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103BDD8"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796D1B9"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FF88044"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B5DBDA4"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641300B"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DCEC64"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3F657C5D"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360D2EE"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88B174"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B0C8370"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w:t>
      </w:r>
      <w:r>
        <w:rPr>
          <w:rFonts w:ascii="Calibri" w:hAnsi="Calibri" w:cs="Calibri"/>
          <w:color w:val="000000"/>
          <w:sz w:val="27"/>
          <w:szCs w:val="27"/>
        </w:rPr>
        <w:t> Além daquelas determinadas por leis, decretos, regulamentos e demais dispositivos legais, a CONTRATADA estará sujeita as sanções definidas neste Termo de Referência.</w:t>
      </w:r>
    </w:p>
    <w:p w14:paraId="1A1B206E"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Sem prejuízo das sanções cominadas no art. 87, I, III e IV, da Lei nº 8.666/93, pela inexecução total ou parcial do instrumento de contrato, a Contratante poderá, garantida a prévia e ampla defesa, aplicar à Contratada multa (Tabela – Item 19.11), sobre o valor adjudicado.</w:t>
      </w:r>
    </w:p>
    <w:p w14:paraId="1DB7CD0B"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Se a adjudicatária se recusar a retirar o instrumento contratual injustificadamente ou se não apresentar situação regular na ocasião dos recebimentos, garantida a prévia e ampla defesa, aplicar à Contratada multa de até 10% (dez por cento) sobre o valor total do contrato.</w:t>
      </w:r>
    </w:p>
    <w:p w14:paraId="2F41D180"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0B0EDF50"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14:paraId="5499C24C"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29BFCD54"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3E34E2B0"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DE9453E"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São exemplos de infração administrativa penalizáveis, nos termos da Lei nº 8.666, de 1993, da Lei nº 10.520, de 2002, dos Decretos Estaduais nº 12.205/06, 12.234/06 (Pregão Eletrônico e Presencial):</w:t>
      </w:r>
    </w:p>
    <w:p w14:paraId="4912240E"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a) </w:t>
      </w:r>
      <w:r>
        <w:rPr>
          <w:rFonts w:ascii="Calibri" w:hAnsi="Calibri" w:cs="Calibri"/>
          <w:color w:val="000000"/>
          <w:sz w:val="27"/>
          <w:szCs w:val="27"/>
        </w:rPr>
        <w:t>Inexecução total ou parcial do contrato;</w:t>
      </w:r>
    </w:p>
    <w:p w14:paraId="57FE0055"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Apresentação de documentação falsa;</w:t>
      </w:r>
    </w:p>
    <w:p w14:paraId="465F8F26"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Comportamento inidôneo;</w:t>
      </w:r>
    </w:p>
    <w:p w14:paraId="5B038F94"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w:t>
      </w:r>
      <w:r>
        <w:rPr>
          <w:rFonts w:ascii="Calibri" w:hAnsi="Calibri" w:cs="Calibri"/>
          <w:color w:val="000000"/>
          <w:sz w:val="27"/>
          <w:szCs w:val="27"/>
        </w:rPr>
        <w:t> Fraude fiscal;</w:t>
      </w:r>
    </w:p>
    <w:p w14:paraId="32A7F463"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e)</w:t>
      </w:r>
      <w:r>
        <w:rPr>
          <w:rFonts w:ascii="Calibri" w:hAnsi="Calibri" w:cs="Calibri"/>
          <w:color w:val="000000"/>
          <w:sz w:val="27"/>
          <w:szCs w:val="27"/>
        </w:rPr>
        <w:t> Descumprimento de qualquer dos deveres elencados no Edital ou no Contrato.</w:t>
      </w:r>
    </w:p>
    <w:p w14:paraId="705748B6"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5F8D6AA5"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4F4137F2"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140C305C"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Após 30 (trinta) dias da falta de execução do objeto, será considerada inexecução total do contrato, o que ensejará a rescisão contratual.</w:t>
      </w:r>
    </w:p>
    <w:p w14:paraId="32A7ED0C"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6F3DC4F7"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FBA2F3E"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14B32C93"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A sanção será obrigatoriamente registrada no Sistema de Cadastramento Unificado de Fornecedores – SICAF, bem como em sistemas Estaduais.</w:t>
      </w:r>
    </w:p>
    <w:p w14:paraId="38C1CF15"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E321DA2"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w:t>
      </w:r>
      <w:r>
        <w:rPr>
          <w:rFonts w:ascii="Calibri" w:hAnsi="Calibri" w:cs="Calibri"/>
          <w:color w:val="000000"/>
          <w:sz w:val="27"/>
          <w:szCs w:val="27"/>
        </w:rPr>
        <w:t> tenham sofrido condenações definitivas por praticarem, por meio dolosos, fraude fiscal no recolhimento de tributos;</w:t>
      </w:r>
    </w:p>
    <w:p w14:paraId="63A7DB37"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w:t>
      </w:r>
      <w:r>
        <w:rPr>
          <w:rFonts w:ascii="Calibri" w:hAnsi="Calibri" w:cs="Calibri"/>
          <w:color w:val="000000"/>
          <w:sz w:val="27"/>
          <w:szCs w:val="27"/>
        </w:rPr>
        <w:t> tenham praticado atos ilícitos visando a frustrar os objetivos da licitação;</w:t>
      </w:r>
    </w:p>
    <w:p w14:paraId="3991C77D"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w:t>
      </w:r>
      <w:r>
        <w:rPr>
          <w:rFonts w:ascii="Calibri" w:hAnsi="Calibri" w:cs="Calibri"/>
          <w:color w:val="000000"/>
          <w:sz w:val="27"/>
          <w:szCs w:val="27"/>
        </w:rPr>
        <w:t> demonstrem não possuir idoneidade para contratar com a Administração em virtude de atos ilícitos praticados.</w:t>
      </w:r>
    </w:p>
    <w:p w14:paraId="289EDF94"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9.19.</w:t>
      </w:r>
      <w:r>
        <w:rPr>
          <w:rFonts w:ascii="Calibri" w:hAnsi="Calibri" w:cs="Calibri"/>
          <w:color w:val="000000"/>
          <w:sz w:val="27"/>
          <w:szCs w:val="27"/>
        </w:rPr>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71F3EA15"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3568261C"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w:t>
      </w:r>
      <w:r>
        <w:rPr>
          <w:rFonts w:ascii="Calibri" w:hAnsi="Calibri" w:cs="Calibri"/>
          <w:color w:val="000000"/>
          <w:sz w:val="27"/>
          <w:szCs w:val="27"/>
        </w:rPr>
        <w:t>Tratando-se de sanção do art. 7° da Lei do Pregão, os seus efeitos recaem apenas na esfera administrativa do órgão que a aplicou".</w:t>
      </w:r>
    </w:p>
    <w:p w14:paraId="778ACB06"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229B90A1"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08363F"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715ECD8"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F2C1221"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8C058E6"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61F5263"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AA869D8"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59F1610E"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C252AE8"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EBD16F"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9CE7047"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w:t>
      </w:r>
      <w:r>
        <w:rPr>
          <w:rFonts w:ascii="Calibri" w:hAnsi="Calibri" w:cs="Calibri"/>
          <w:color w:val="000000"/>
          <w:sz w:val="27"/>
          <w:szCs w:val="27"/>
        </w:rPr>
        <w:lastRenderedPageBreak/>
        <w:t>promover as negociações junto aos fornecedores, observadas as disposições contidas na alínea "d" do inciso II do caput do artigo 65 da Lei 8.666/93</w:t>
      </w:r>
    </w:p>
    <w:p w14:paraId="2FB655A5"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1006C78"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84DDCB0"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E17FC0B"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92D0880"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FABF82A"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35C6DBB"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EA45D3"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5856D8B"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AC848AF"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0993D96"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1DC7F6E"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31173EF"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F994A8C"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6CDDBF0"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27B626E"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27BBA13"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F9E59DF"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28EAB13B"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9DE998"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B1738CC"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4EAB603"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B556B02"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6F6DE01"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7AFA1A2"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7D89273"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7A77345E"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4A20FE3F"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EC699B7"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403F1B9"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SEDUC - </w:t>
      </w:r>
      <w:r>
        <w:rPr>
          <w:rFonts w:ascii="Calibri" w:hAnsi="Calibri" w:cs="Calibri"/>
          <w:color w:val="000000"/>
          <w:sz w:val="27"/>
          <w:szCs w:val="27"/>
        </w:rPr>
        <w:t>Secretaria de Estado da Educação.</w:t>
      </w:r>
    </w:p>
    <w:p w14:paraId="365D23F1"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38B74F"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0DD149C"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C6C8661"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A6C0BAE"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E090740"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B67F199"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AC6222"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93D8D3E" w14:textId="77777777" w:rsidR="00D06C29" w:rsidRDefault="00D06C29" w:rsidP="00D06C2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3389</Words>
  <Characters>18302</Characters>
  <Application>Microsoft Office Word</Application>
  <DocSecurity>0</DocSecurity>
  <Lines>152</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2021-11-12T15:01:00Z</dcterms:created>
  <dcterms:modified xsi:type="dcterms:W3CDTF">2021-11-12T15:03:00Z</dcterms:modified>
</cp:coreProperties>
</file>