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13428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306/2021</w:t>
      </w:r>
    </w:p>
    <w:p w14:paraId="4EEB857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357/2021</w:t>
      </w:r>
    </w:p>
    <w:p w14:paraId="3C6BF2F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0015.511806/2020-11</w:t>
      </w:r>
    </w:p>
    <w:p w14:paraId="14547AD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9822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 consumo e permanente, a pedido da Agência de Defesa Sanitária Agrosilvopastoril do Estado de Rondônia - </w:t>
      </w:r>
      <w:r>
        <w:rPr>
          <w:rStyle w:val="Forte"/>
          <w:rFonts w:ascii="Calibri" w:eastAsiaTheme="majorEastAsia" w:hAnsi="Calibri" w:cs="Calibri"/>
          <w:color w:val="000000"/>
          <w:sz w:val="27"/>
          <w:szCs w:val="27"/>
        </w:rPr>
        <w:t>IDARON</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A02787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D461D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DB9810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 consumo e permanente, a pedido da Agência de Defesa Sanitária Agrosilvopastoril do Estado de Rondônia - </w:t>
      </w:r>
      <w:r>
        <w:rPr>
          <w:rStyle w:val="Forte"/>
          <w:rFonts w:ascii="Calibri" w:eastAsiaTheme="majorEastAsia" w:hAnsi="Calibri" w:cs="Calibri"/>
          <w:color w:val="000000"/>
          <w:sz w:val="27"/>
          <w:szCs w:val="27"/>
        </w:rPr>
        <w:t>IDARON</w:t>
      </w:r>
      <w:r>
        <w:rPr>
          <w:rFonts w:ascii="Calibri" w:hAnsi="Calibri" w:cs="Calibri"/>
          <w:color w:val="000000"/>
          <w:sz w:val="27"/>
          <w:szCs w:val="27"/>
        </w:rPr>
        <w:t>.</w:t>
      </w:r>
    </w:p>
    <w:p w14:paraId="10984EFA"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1A875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AC6E92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BEA464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596902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24B56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7511C9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DC1DE3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75A66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97DF538"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0352E7A"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4C81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0BCDA4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80FD07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1BDD8F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B399D9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C5EF76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247077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F50A5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899627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F648E4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FB257F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30 (trinta) dias corridos, contados da assinatura do contrato.</w:t>
      </w:r>
    </w:p>
    <w:p w14:paraId="67E4637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da Agência IDARON, localizado na BR-364, Km 07, número 9.280-C, Bairro Aeroclube, Quadra 999, Setor 21, CEP 76.816-800, município de Porto Velho/RO, de segunda a sexta-feira, das 07h:30min às 13h:30min.</w:t>
      </w:r>
    </w:p>
    <w:p w14:paraId="3FC968F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CC61D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7D2189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207695A"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161502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D4CB35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28831C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DE947E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772DE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C289C0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CF5CF3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1A7C5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C20106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Aos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14:paraId="35215B1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Em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14:paraId="5BB052E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 - </w:t>
      </w:r>
      <w:r>
        <w:rPr>
          <w:rStyle w:val="Forte"/>
          <w:rFonts w:ascii="Calibri" w:eastAsiaTheme="majorEastAsia" w:hAnsi="Calibri" w:cs="Calibri"/>
          <w:color w:val="000000"/>
          <w:sz w:val="27"/>
          <w:szCs w:val="27"/>
          <w:u w:val="single"/>
        </w:rPr>
        <w:t>Advertência escrita</w:t>
      </w:r>
      <w:r>
        <w:rPr>
          <w:rFonts w:ascii="Calibri" w:hAnsi="Calibri" w:cs="Calibri"/>
          <w:color w:val="000000"/>
          <w:sz w:val="27"/>
          <w:szCs w:val="27"/>
        </w:rPr>
        <w:t> – a comunicação formal ao fornecedor, advertindo-lhe sobre o descumprimento de obrigação legal assumida, determinando que seja sanada a impropriedade e, notificando que, em caso de reincidência, sanção mais elevada poderá ser aplicada.</w:t>
      </w:r>
    </w:p>
    <w:p w14:paraId="16684D3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w:t>
      </w:r>
      <w:r>
        <w:rPr>
          <w:rStyle w:val="Forte"/>
          <w:rFonts w:ascii="Calibri" w:eastAsiaTheme="majorEastAsia" w:hAnsi="Calibri" w:cs="Calibri"/>
          <w:color w:val="000000"/>
          <w:sz w:val="27"/>
          <w:szCs w:val="27"/>
          <w:u w:val="single"/>
        </w:rPr>
        <w:t>Multa</w:t>
      </w:r>
      <w:r>
        <w:rPr>
          <w:rFonts w:ascii="Calibri" w:hAnsi="Calibri" w:cs="Calibri"/>
          <w:color w:val="000000"/>
          <w:sz w:val="27"/>
          <w:szCs w:val="27"/>
        </w:rPr>
        <w:t> – que deverá observar os seguintes limites máximos:</w:t>
      </w:r>
    </w:p>
    <w:p w14:paraId="3A66274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 0,3% (três décimos por cento) por dia, até o trigésimo dia, no caso de atrasos na entrega, sobre o valor da parte inadimplida do contrato;</w:t>
      </w:r>
    </w:p>
    <w:p w14:paraId="7BFD4D1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Até o limite de 20% (vinte por cento),</w:t>
      </w:r>
      <w:r>
        <w:rPr>
          <w:rStyle w:val="Forte"/>
          <w:rFonts w:ascii="Calibri" w:eastAsiaTheme="majorEastAsia" w:hAnsi="Calibri" w:cs="Calibri"/>
          <w:color w:val="000000"/>
          <w:sz w:val="27"/>
          <w:szCs w:val="27"/>
        </w:rPr>
        <w:t> </w:t>
      </w:r>
      <w:r>
        <w:rPr>
          <w:rFonts w:ascii="Calibri" w:hAnsi="Calibri" w:cs="Calibri"/>
          <w:color w:val="000000"/>
          <w:sz w:val="27"/>
          <w:szCs w:val="27"/>
        </w:rPr>
        <w:t>sobre o valor da parte inadimplida do contrato</w:t>
      </w:r>
      <w:r>
        <w:rPr>
          <w:rStyle w:val="Forte"/>
          <w:rFonts w:ascii="Calibri" w:eastAsiaTheme="majorEastAsia" w:hAnsi="Calibri" w:cs="Calibri"/>
          <w:color w:val="000000"/>
          <w:sz w:val="27"/>
          <w:szCs w:val="27"/>
        </w:rPr>
        <w:t>, </w:t>
      </w:r>
      <w:r>
        <w:rPr>
          <w:rFonts w:ascii="Calibri" w:hAnsi="Calibri" w:cs="Calibri"/>
          <w:color w:val="000000"/>
          <w:sz w:val="27"/>
          <w:szCs w:val="27"/>
        </w:rPr>
        <w:t>para as infrações estipuladas na Tabela 2, de acordo com os percentuais previstos na Tabela 1;</w:t>
      </w:r>
    </w:p>
    <w:p w14:paraId="3F827E8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 10% (dez por cento), sobre o valor da nota de empenho ou do contrato, em caso de recusa do adjudicatário em efetuar o reforço de garantia;</w:t>
      </w:r>
    </w:p>
    <w:p w14:paraId="0C3E17A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De 20% (vinte por cento), sobre o valor da parte inadimplida do contrato,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14:paraId="451F3EF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O valor da multa aplicada será descontado do valor da garantia prestada, retido dos pagamentos devidos pela Administração Pública Estadual ou ainda, cobrado judicialmente, nos termos dos §§ 2º e 3º do artigo 86, da Lei nº 8.666/93.</w:t>
      </w:r>
    </w:p>
    <w:p w14:paraId="5AC01C0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700AB5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w:t>
      </w:r>
      <w:r>
        <w:rPr>
          <w:rFonts w:ascii="Calibri" w:hAnsi="Calibri" w:cs="Calibri"/>
          <w:b/>
          <w:bCs/>
          <w:color w:val="000000"/>
          <w:sz w:val="27"/>
          <w:szCs w:val="27"/>
          <w:u w:val="single"/>
        </w:rPr>
        <w:t>Suspensão temporária de participação em licitação e impedimento de contratar com a Administração Pública Estadual</w:t>
      </w:r>
      <w:r>
        <w:rPr>
          <w:rFonts w:ascii="Calibri" w:hAnsi="Calibri" w:cs="Calibri"/>
          <w:color w:val="000000"/>
          <w:sz w:val="27"/>
          <w:szCs w:val="27"/>
        </w:rPr>
        <w:t>, impedindo o fornecedor de licitar e contratar com a Administração Pública Estadual pelos seguintes prazos:</w:t>
      </w:r>
    </w:p>
    <w:p w14:paraId="0FB8E35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 6 (seis) meses, nos casos de:</w:t>
      </w:r>
    </w:p>
    <w:p w14:paraId="42F590AA" w14:textId="77777777" w:rsidR="00CF13E3" w:rsidRDefault="00CF13E3" w:rsidP="00CF13E3">
      <w:pPr>
        <w:pStyle w:val="textojustificado"/>
        <w:numPr>
          <w:ilvl w:val="0"/>
          <w:numId w:val="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Alteração de substância, qualidade ou quantidade da mercadoria fornecida; ou</w:t>
      </w:r>
    </w:p>
    <w:p w14:paraId="61BB955C" w14:textId="77777777" w:rsidR="00CF13E3" w:rsidRDefault="00CF13E3" w:rsidP="00CF13E3">
      <w:pPr>
        <w:pStyle w:val="textojustificado"/>
        <w:numPr>
          <w:ilvl w:val="0"/>
          <w:numId w:val="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Prestação de serviço de baixa qualidade.</w:t>
      </w:r>
    </w:p>
    <w:p w14:paraId="745DCED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De 12 (doze) meses, no caso do descumprimento de especificação técnica relativa ao objeto previsto no contrato.</w:t>
      </w:r>
    </w:p>
    <w:p w14:paraId="4DD45DC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 24 (vinte e quatro) meses, nos casos de:</w:t>
      </w:r>
    </w:p>
    <w:p w14:paraId="671E6F23" w14:textId="77777777" w:rsidR="00CF13E3" w:rsidRDefault="00CF13E3" w:rsidP="00CF13E3">
      <w:pPr>
        <w:pStyle w:val="textojustificado"/>
        <w:numPr>
          <w:ilvl w:val="0"/>
          <w:numId w:val="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Retardamento imotivado no fornecimento do objeto;</w:t>
      </w:r>
    </w:p>
    <w:p w14:paraId="159A755F" w14:textId="77777777" w:rsidR="00CF13E3" w:rsidRDefault="00CF13E3" w:rsidP="00CF13E3">
      <w:pPr>
        <w:pStyle w:val="textojustificado"/>
        <w:numPr>
          <w:ilvl w:val="0"/>
          <w:numId w:val="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Paralisação no fornecimento do bem, sem justa causa e prévia comunicação à Administração Pública Estadual;</w:t>
      </w:r>
    </w:p>
    <w:p w14:paraId="61958750" w14:textId="77777777" w:rsidR="00CF13E3" w:rsidRDefault="00CF13E3" w:rsidP="00CF13E3">
      <w:pPr>
        <w:pStyle w:val="textojustificado"/>
        <w:numPr>
          <w:ilvl w:val="0"/>
          <w:numId w:val="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Entrega de mercadoria falsificada, furtada, deteriorada, danificada ou inadequada para o uso, como se verdadeira ou perfeita fosse;</w:t>
      </w:r>
    </w:p>
    <w:p w14:paraId="4075050B" w14:textId="77777777" w:rsidR="00CF13E3" w:rsidRDefault="00CF13E3" w:rsidP="00CF13E3">
      <w:pPr>
        <w:pStyle w:val="textojustificado"/>
        <w:numPr>
          <w:ilvl w:val="0"/>
          <w:numId w:val="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Praticar ato ilícito visando frustrar os objetivos de licitação no âmbito da Administração Pública Estadual; ou</w:t>
      </w:r>
    </w:p>
    <w:p w14:paraId="644F4FEF" w14:textId="77777777" w:rsidR="00CF13E3" w:rsidRDefault="00CF13E3" w:rsidP="00CF13E3">
      <w:pPr>
        <w:pStyle w:val="textojustificado"/>
        <w:numPr>
          <w:ilvl w:val="0"/>
          <w:numId w:val="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Sofrer condenação definitiva por praticar, por meio doloso, fraude fiscal no recolhimento de qualquer tributo;</w:t>
      </w:r>
    </w:p>
    <w:p w14:paraId="51BA74F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9260C3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De até 5 (cinco) anos, no caso de licitação na modalidade Pregão, nas situações previstas no art. 7º da Lei 10.520/2002 ou de 2 (dois) anos, nas demais modalidades licitatórias.</w:t>
      </w:r>
    </w:p>
    <w:p w14:paraId="43AF3D5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w:t>
      </w:r>
      <w:r>
        <w:rPr>
          <w:rFonts w:ascii="Calibri" w:hAnsi="Calibri" w:cs="Calibri"/>
          <w:b/>
          <w:bCs/>
          <w:color w:val="000000"/>
          <w:sz w:val="27"/>
          <w:szCs w:val="27"/>
          <w:u w:val="single"/>
        </w:rPr>
        <w:t>Declaração de inidoneidade para licitar ou contratar com a Administração Pública</w:t>
      </w:r>
      <w:r>
        <w:rPr>
          <w:rFonts w:ascii="Calibri" w:hAnsi="Calibri" w:cs="Calibri"/>
          <w:color w:val="000000"/>
          <w:sz w:val="27"/>
          <w:szCs w:val="27"/>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14:paraId="34D14EF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14:paraId="5CCFD03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O fornecedor será excluído do Cadastro de Fornecedores Impedidos de Licitar e Contratar com a Administração Pública Estadual – CAGEFIMP nas seguintes hipóteses, conforme dispõe o artigo 34, inciso II do Decreto nº 16.089/2011:</w:t>
      </w:r>
    </w:p>
    <w:p w14:paraId="2B74CB4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Expirado o prazo da suspensão, desde que cumpridas integralmente as punições impostas;</w:t>
      </w:r>
    </w:p>
    <w:p w14:paraId="3AA7BDE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 pedido do fornecedor declarado inidôneo, decorrido o prazo mínimo de 2 (dois) anos, desde que reabilitado pela Administração Pública Estadual, na forma do disposto no § 3º, do art. 87, da Lei Federal nº 8.666/93; e</w:t>
      </w:r>
    </w:p>
    <w:p w14:paraId="502C657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Por determinação judicial.</w:t>
      </w:r>
    </w:p>
    <w:p w14:paraId="523C477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As sanções de advertência, suspensão e inidoneidade poderão ser aplicadas juntamente com a multa, conforme dispõe o § 2º do art. 87 da Lei nº 8.666/93, assegurado o direito de defesa prévia do interessado no prazo de 5 (cinco) dias úteis.</w:t>
      </w:r>
    </w:p>
    <w:p w14:paraId="6D8E688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As penalidades de advertência e multa serão aplicadas de ofício ou por provocação dos órgãos de controle, pela autoridade expressamente nomeada no edital ou no instrumento contratual.</w:t>
      </w:r>
    </w:p>
    <w:p w14:paraId="0B4D347A"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Não será efetuado qualquer pagamento de parcela inadimplida à Contratada enquanto houver pendência de liquidação da obrigação financeira em virtude de penalidade ou inadimplência contratual.</w:t>
      </w:r>
    </w:p>
    <w:p w14:paraId="2BE2E498"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14:paraId="3A685E8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Contratante poderá conceder um prazo para que a Contratada regularize suas obrigações trabalhistas ou suas condições de habilitação, sob pena de rescisão contratual, quando não identificar má-fé ou a incapacidade da empresa de corrigir a situação.</w:t>
      </w:r>
    </w:p>
    <w:p w14:paraId="50FE590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48AB079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São exemplos de infração administrativa penalizáveis, nos termos da legislação a (o):</w:t>
      </w:r>
    </w:p>
    <w:p w14:paraId="644DEFD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1CF7AEE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64FCAD0D"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4C87B838"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0DB316C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2A7DD9B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3915F9E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serão obrigatoriamente registradas no Cadastro de Fornecedores Impedidos de Licitar e Contratar com a Administração Pública Estadual – CAGEFIMP, gerido pela Controladoria Geral do Estado – CGE.</w:t>
      </w:r>
    </w:p>
    <w:p w14:paraId="1B20E42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Também ficam </w:t>
      </w:r>
      <w:r>
        <w:rPr>
          <w:rStyle w:val="Forte"/>
          <w:rFonts w:ascii="Calibri" w:eastAsiaTheme="majorEastAsia" w:hAnsi="Calibri" w:cs="Calibri"/>
          <w:color w:val="000000"/>
          <w:sz w:val="27"/>
          <w:szCs w:val="27"/>
          <w:u w:val="single"/>
        </w:rPr>
        <w:t>sujeitas</w:t>
      </w:r>
      <w:r>
        <w:rPr>
          <w:rFonts w:ascii="Calibri" w:hAnsi="Calibri" w:cs="Calibri"/>
          <w:color w:val="000000"/>
          <w:sz w:val="27"/>
          <w:szCs w:val="27"/>
        </w:rPr>
        <w:t> às penalidades de suspensão de licitar e impedimento de contratar com o órgão licitante e de declaração de inidoneidade, previstas no subitem anterior, as empresas ou profissionais que, em razão do contrato decorrente da licitação:</w:t>
      </w:r>
    </w:p>
    <w:p w14:paraId="57DD0F0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69619C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5767641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3476E7A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14:paraId="50A18E5D"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0DF756D"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A8C92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13A1FA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DDE44B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2FF90B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15F09E8"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60BCBD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D96F62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36E2AA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68406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7CB96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1E10DB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1D7FDE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63420E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68DFB25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8C9545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EB5C2A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DF894B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6D5451"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14897B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8F238A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F74365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85548CD"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AD6A5E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7A883E9"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6D9639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CCDE7C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240996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34ABB0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4F49EA8"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77719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5C4D6287"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FC9C97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B4357DE"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18E8D8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4D76DFF"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7A3AB3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CEBA77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84FF5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44558EB"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37109D0"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IDARON - </w:t>
      </w:r>
      <w:r>
        <w:rPr>
          <w:rFonts w:ascii="Calibri" w:hAnsi="Calibri" w:cs="Calibri"/>
          <w:color w:val="000000"/>
          <w:sz w:val="27"/>
          <w:szCs w:val="27"/>
        </w:rPr>
        <w:t>Agência de Defesa Sanitária Agrosilvopastoril do Estado de Rondônia.</w:t>
      </w:r>
    </w:p>
    <w:p w14:paraId="22922D42"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DEF565"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0791B46"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11848B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BAB3B53"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30FAFB4"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BD449FC"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77777777"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3444</Words>
  <Characters>19278</Characters>
  <Application>Microsoft Office Word</Application>
  <DocSecurity>0</DocSecurity>
  <Lines>160</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2021-11-12T14:26:00Z</dcterms:created>
  <dcterms:modified xsi:type="dcterms:W3CDTF">2021-11-12T14:27:00Z</dcterms:modified>
</cp:coreProperties>
</file>