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CFE8D5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301/2021</w:t>
      </w:r>
    </w:p>
    <w:p w14:paraId="4C827DB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480/2021</w:t>
      </w:r>
    </w:p>
    <w:p w14:paraId="451E517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0030.174432/2021-31</w:t>
      </w:r>
    </w:p>
    <w:p w14:paraId="3728169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F7D9A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expediente, sendo eles: Álcool etílico, concentração 70%, apresentação gel; Álcool etílico, concentração 70% (ou maior), apresentação liquido, máscara descartável de uso único; Luvas não estéreis, a pedido da Secretaria de Estado de Finanças de Rondônia - </w:t>
      </w:r>
      <w:r>
        <w:rPr>
          <w:rStyle w:val="Forte"/>
          <w:rFonts w:ascii="Calibri" w:eastAsiaTheme="majorEastAsia" w:hAnsi="Calibri" w:cs="Calibri"/>
          <w:color w:val="000000"/>
          <w:sz w:val="27"/>
          <w:szCs w:val="27"/>
        </w:rPr>
        <w:t>SEFIN</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A65AEF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F6F92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2C10D75"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expediente, sendo eles: Álcool etílico, concentração 70%, apresentação gel; Álcool etílico, concentração 70% (ou maior), apresentação liquido, máscara descartável de uso único; Luvas não estéreis, a pedido da Secretaria de Estado de Finanças de Rondônia - </w:t>
      </w:r>
      <w:r>
        <w:rPr>
          <w:rStyle w:val="Forte"/>
          <w:rFonts w:ascii="Calibri" w:eastAsiaTheme="majorEastAsia" w:hAnsi="Calibri" w:cs="Calibri"/>
          <w:color w:val="000000"/>
          <w:sz w:val="27"/>
          <w:szCs w:val="27"/>
        </w:rPr>
        <w:t>SEFIN.</w:t>
      </w:r>
    </w:p>
    <w:p w14:paraId="632E157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FB9AB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446BB97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3B81493"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7FA4AA1"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0DECC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942B7D0"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F926EA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AB7FB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15060B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39BD56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579B39"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7EAD7BC"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763353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3FD6AC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BF722E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303998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C25385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F038B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CBC210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84C59B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419CC1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para recebimento da Nota de Empenho é de até 02 (dois) dias úteis.</w:t>
      </w:r>
    </w:p>
    <w:p w14:paraId="5CB6902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dos materiais previsto no presente Termo deverá ser realizada no Almoxarifado da SEFIN de segunda à sexta-feira, das 07h30 às 13h30, localizado na Av. Tiradentes, nº 3361, Bairro Industrial, CEP: 76.803-865 - Fone: (69) 3211-6100, ramal 1528, Porto Velho – RO.</w:t>
      </w:r>
    </w:p>
    <w:p w14:paraId="62C5ECA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15C359"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3F41C01"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6E310B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004A80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DAED7D5"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79ABE33"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67F90B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E0267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03120A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7BDF2E5"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1C015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66BA79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4B092EFC"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se recusar a retirar o instrumento contratual injustificadamente ou se não apresentar situação regular na ocasião dos recebimentos, garantida a prévia e ampla defesa, aplicar à Contratada multa de até 05% (cinco por cento) sobre o valor total do contrato.</w:t>
      </w:r>
    </w:p>
    <w:p w14:paraId="3A5C5F4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CAGEFIMP.</w:t>
      </w:r>
    </w:p>
    <w:p w14:paraId="04C0DA1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57AE13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61F04C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F06FB4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9E249A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w:t>
      </w:r>
    </w:p>
    <w:p w14:paraId="79305F8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4FCD085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07C502A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2C0300A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0A3DE86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Termo de Referência ou no Contrato.</w:t>
      </w:r>
    </w:p>
    <w:p w14:paraId="0409A56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011B9FD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1BD09849"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C6EE870"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35D7CD5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2ED711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A183F7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F48B131"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2C29EA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0F4C942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07DD6EB3"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4EC6F2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0D71898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57B6EA9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53AE0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481B55"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14D6F1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2AB655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45BF6A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713218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3FAA20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12707F1"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16865C5"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14F96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8B0BF2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FA23A1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D9B9F61"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63E455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1DF64903"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0C5BB2F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4EE3E8C"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32E241E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06E18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06009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D5225FC"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387E8C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FF9BE8F"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B104A7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0695B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6AB8F4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EA4C7A0"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28B1261"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C4CD12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9FFBA2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2962C5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30A15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2AB1B7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949844A"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464DF7B"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4CDE27E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1AEC2C9"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8734D0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6A5E94E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835BD3"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F669BCC"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E73BB66"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SEFIN - </w:t>
      </w:r>
      <w:r>
        <w:rPr>
          <w:rFonts w:ascii="Calibri" w:hAnsi="Calibri" w:cs="Calibri"/>
          <w:color w:val="000000"/>
          <w:sz w:val="27"/>
          <w:szCs w:val="27"/>
        </w:rPr>
        <w:t>Secretaria de Estado de Finanças de Rondônia</w:t>
      </w:r>
    </w:p>
    <w:p w14:paraId="28E90D2D"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AB3804"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6909B90"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4ACC04C"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25A0D68"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3C13AE7"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6FD8DE2"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38C209"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478B02E" w14:textId="77777777" w:rsidR="0037073A" w:rsidRDefault="0037073A" w:rsidP="0037073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B3B99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073A"/>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03541721">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3100</Words>
  <Characters>17302</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2021-11-12T14:11:00Z</dcterms:created>
  <dcterms:modified xsi:type="dcterms:W3CDTF">2021-11-12T14:12:00Z</dcterms:modified>
</cp:coreProperties>
</file>