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86C2E8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297/2021</w:t>
      </w:r>
    </w:p>
    <w:p w14:paraId="5941DE23"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215/2021</w:t>
      </w:r>
    </w:p>
    <w:p w14:paraId="4EF3D089"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0036.498987/2020-35</w:t>
      </w:r>
    </w:p>
    <w:p w14:paraId="7A94003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D9462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Israel Evangelista da Silval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futura e eventual Contratação de empresa especializada no fornecimento de Órteses, Próteses e Materiais Especiais constantes na Tabela SUS, onde deverá ser mantido em sistema de comodato,  para atender os procedimentos cirúrgicos de ORTOPEDIA realizados no Hospital de Base Dr. Ary Pinheiro – HBAP, Hospital e Pronto Socorro João Paulo - II - JP-II e Complexo Hospitalar Regional de Cacoal, por um período de 12 (doze) meses,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C64151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8ACB0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59CC9E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futura e eventual Contratação de empresa especializada no fornecimento de Órteses, Próteses e Materiais Especiais constantes na Tabela SUS, onde deverá ser mantido em sistema de comodato, para atender os procedimentos cirúrgicos de ORTOPEDIA realizados no Hospital de Base Dr. Ary Pinheiro – HBAP, Hospital e Pronto Socorro João Paulo - II - JP-II e Complexo Hospitalar Regional de Cacoal, por um período de 12 (doze) meses, a pedido da Secretaria de Estado da Saúde - SESAU/RO.</w:t>
      </w:r>
    </w:p>
    <w:p w14:paraId="7AFA7962"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60F95F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EF91E3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6080236"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C49A53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54E3E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3B837D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D41FC3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75485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964BED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58FB2A5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93D6F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0ABBF7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7DE09DC"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C2D028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5C6EB6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B42B47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9136EA9"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89336C"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6F866A8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2B1DB5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C3977A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A primeira entrega dos materiais e instrumentais deverá ocorrer conforme solicitação da Unidade de Saúde, com indicação do quantitativo, no prazo máximo de 30 dias após emissão da nota de empenho/assinatura do termo contratual, de acordo com as especificações descritas nos anexos I e II, sob regime de consignação, conforme item 4 do Termo de Referência.</w:t>
      </w:r>
    </w:p>
    <w:p w14:paraId="53AFCE4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A primeira entrega  deverá ocorrer no Setor de Órteses e Próteses da Unidade Hospitalar.</w:t>
      </w:r>
    </w:p>
    <w:p w14:paraId="1A88813C"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demais entregas após solicitação da unidade hospitalar, deverá ser efetuada na Central de Abastecimento Farmacêutico - CAF II: Rua Aparício de Moraes, 4373, Setor Industrial - Porto Velho/RO. Os dias de funcionamento são de segunda a sexta-feira, sendo de 07h30min às 17h30min, conforme item 4 do Termo de Referência..</w:t>
      </w:r>
    </w:p>
    <w:p w14:paraId="01D2AAA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EA541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7DA8B46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C1D86C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3C99522"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76AFC5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E5F57EB"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ABCA2B2"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BA55B6"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477192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80CFEE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9BC8F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047AB9C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34CFCA"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C147EC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4951799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55B20D5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AB59B2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40D8F32"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73B1FD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2418186"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612ECA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1F0D05D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51A55CF9"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FEC96D2"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4262D26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642D8FC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42F1BC8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ED97A5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836BDB6"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718B6C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A27B01A"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F9BB2C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3276F1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5ADE832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559496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6D62BC8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 b)</w:t>
      </w:r>
      <w:r>
        <w:rPr>
          <w:rFonts w:ascii="Calibri" w:hAnsi="Calibri" w:cs="Calibri"/>
          <w:color w:val="000000"/>
          <w:sz w:val="27"/>
          <w:szCs w:val="27"/>
        </w:rPr>
        <w:t> Tenham praticado atos ilícitos visando a frustrar os objetivos da licitação;</w:t>
      </w:r>
    </w:p>
    <w:p w14:paraId="7FE77063"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CCF952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99D78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2ED3DB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26564D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6DA009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454959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BFA9BE3"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83B46DB"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51A0EE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BAC1D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EAAE34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CDD8E3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AA54D4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6293C98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AA74D9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F582B89"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48B21E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89F78EB"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EEDAD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E4D38C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386F9C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C2889C7"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A3A6C42"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E581F6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5BA97C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12.6.</w:t>
      </w:r>
      <w:r>
        <w:rPr>
          <w:rFonts w:ascii="Calibri" w:hAnsi="Calibri" w:cs="Calibri"/>
          <w:color w:val="000000"/>
          <w:sz w:val="27"/>
          <w:szCs w:val="27"/>
        </w:rPr>
        <w:t> Respeitar e fazer cumprir a legislação de segurança e saúde no trabalho, previstas nas normas regulamentadoras pertinentes;</w:t>
      </w:r>
    </w:p>
    <w:p w14:paraId="625C83F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23F145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8FCFCC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C79C1E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6104E1A"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91021A"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80A844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682442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E7E7A1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51FAFD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BA95D89"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B7644F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34146D2"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46C6E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5848380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6599FDF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5FAFF67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7C9027D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41559523"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0B47295F"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440AEA31"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71C73AFB"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2E9F94"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EACB5ED"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32CC11AE"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59CEFCC0"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C348F5"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02D2DED6"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EBB66B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6609CC8"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36B597B"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8549FB3"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7F4B9A"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B8427EB"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ANEXO ÚNICO DA ATA:</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lastRenderedPageBreak/>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lastRenderedPageBreak/>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3516</Words>
  <Characters>18991</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2021-11-12T13:58:00Z</dcterms:created>
  <dcterms:modified xsi:type="dcterms:W3CDTF">2021-11-12T13:59:00Z</dcterms:modified>
</cp:coreProperties>
</file>