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5A2C100"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272/2021</w:t>
      </w:r>
    </w:p>
    <w:p w14:paraId="0FD2E948"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300/2021</w:t>
      </w:r>
    </w:p>
    <w:p w14:paraId="294C1F30"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0036.350855/2020-23</w:t>
      </w:r>
    </w:p>
    <w:p w14:paraId="68553878"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864511A"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materiais de consumo "ALTA COMPLEXIDADE" -  (Materiais Médico-Hospitalares/Penso -  Grampeador cirúrgico e carregador), a pedido da Secretaria de Estado da Saúde de Rondônia - SESAU</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2B880F70"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DC50FFC"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2C02F749"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materiais de consumo "ALTA COMPLEXIDADE" -  (Materiais Médico-Hospitalares/Penso -  Grampeador cirúrgico e carregador), a pedido da Secretaria de Estado da Saúde de Rondônia - SESAU.</w:t>
      </w:r>
    </w:p>
    <w:p w14:paraId="08D582F7"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20DF03C"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6BC5F19B"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23D2AFEA"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64B35E13"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02CF656"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67F32F9C"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777662DD"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3BBA768"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211202A5"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4AFC40D1"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A4F79B3"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65FCB7D2"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2B24CD6E"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3DE9BC25"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4AE3A059"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198B460F"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0F0B6B1E"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419242E"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138DE117"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4500E3CE"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4E30355E"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A entrega deverá ocorrer conforme solicitação via requisição da Secretaria de Saúde com definição da quantidade no prazo de </w:t>
      </w:r>
      <w:r>
        <w:rPr>
          <w:rStyle w:val="Forte"/>
          <w:rFonts w:ascii="Calibri" w:eastAsiaTheme="majorEastAsia" w:hAnsi="Calibri" w:cs="Calibri"/>
          <w:color w:val="000000"/>
          <w:sz w:val="27"/>
          <w:szCs w:val="27"/>
        </w:rPr>
        <w:t>não superior a 30 (trinta) dias corridos, contado a partir da confirmação de  recebimento da Nota de Empenho.</w:t>
      </w:r>
    </w:p>
    <w:p w14:paraId="2A7C47B1"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materiais/insumos deverão ser entregues na </w:t>
      </w:r>
      <w:r>
        <w:rPr>
          <w:rStyle w:val="Forte"/>
          <w:rFonts w:ascii="Calibri" w:eastAsiaTheme="majorEastAsia" w:hAnsi="Calibri" w:cs="Calibri"/>
          <w:color w:val="000000"/>
          <w:sz w:val="27"/>
          <w:szCs w:val="27"/>
        </w:rPr>
        <w:t>Central de Abastecimento Farmacêutico - CAF II,</w:t>
      </w:r>
      <w:r>
        <w:rPr>
          <w:rFonts w:ascii="Calibri" w:hAnsi="Calibri" w:cs="Calibri"/>
          <w:color w:val="000000"/>
          <w:sz w:val="27"/>
          <w:szCs w:val="27"/>
        </w:rPr>
        <w:t> sito à Rua: Aparício de Morais nº 4378 – bairro: Setor Industrial, CEP: 76824-128, na cidade de Porto Velho/RO. Os dias de funcionamento são de segunda-feira a sexta-feira das 07h30 às 13h30.</w:t>
      </w:r>
    </w:p>
    <w:p w14:paraId="7CD72465"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49C2163"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54B9C5FB"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75ED010D"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204E4BE2"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76C1CFD3"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044ED0BC"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5EAA722B"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EACC76"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09B2B9D7"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289020F5"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C4D2528"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76973450"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Comete infração administrativa nos termos da Lei nº 8.666, de 1993 e da Lei nº 10.520, de 2002, Decreto Estadual nº 12.205/06 e do Decreto Estadual nº 12.234/06, a contratada que:</w:t>
      </w:r>
    </w:p>
    <w:p w14:paraId="21BED787"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 Não executar total ou parcialmente qualquer das obrigações assumidas em decorrência da contratação;</w:t>
      </w:r>
    </w:p>
    <w:p w14:paraId="315F1043"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 Ensejar o retardamento da execução do objeto;</w:t>
      </w:r>
    </w:p>
    <w:p w14:paraId="26FFB95A"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III - Falhar ou fraudar na execução do contrato;</w:t>
      </w:r>
    </w:p>
    <w:p w14:paraId="3B767176"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IV - Comportar-se de modo inidôneo;</w:t>
      </w:r>
    </w:p>
    <w:p w14:paraId="49EB8572"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 - Cometer fraude fiscal;</w:t>
      </w:r>
    </w:p>
    <w:p w14:paraId="6B6B4E7D"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 - Não mantiver a proposta;</w:t>
      </w:r>
    </w:p>
    <w:p w14:paraId="0EAEF6B7"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VII - Apresentar documento ou declaração falsa.</w:t>
      </w:r>
    </w:p>
    <w:p w14:paraId="693B9422"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 </w:t>
      </w:r>
      <w:r>
        <w:rPr>
          <w:rFonts w:ascii="Calibri" w:hAnsi="Calibri" w:cs="Calibri"/>
          <w:color w:val="000000"/>
          <w:sz w:val="27"/>
          <w:szCs w:val="27"/>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14:paraId="2DAECB66"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 (dez por cento) sobre o valor adjudicado.</w:t>
      </w:r>
    </w:p>
    <w:p w14:paraId="25BDC2E0"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Consoante ao art. 7º da Lei nº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Pr>
          <w:rStyle w:val="Forte"/>
          <w:rFonts w:ascii="Calibri" w:eastAsiaTheme="majorEastAsia" w:hAnsi="Calibri" w:cs="Calibri"/>
          <w:color w:val="000000"/>
          <w:sz w:val="27"/>
          <w:szCs w:val="27"/>
        </w:rPr>
        <w:t>CAGEFIMP (Cadastro de Fornecedores Impedidos de Licitar e Contratar com a Administração Pública Estadual – CAGEFIMP, nos termos da Lei nº 2.414, de 18, de fevereiro de 2011 e Decreto nº 16.089, DE 28 DE JULHO DE 2011).</w:t>
      </w:r>
    </w:p>
    <w:p w14:paraId="7BE9D567"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14:paraId="54ACBBF0"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01B2D935"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454372C3"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w:t>
      </w:r>
      <w:r>
        <w:rPr>
          <w:rFonts w:ascii="Calibri" w:hAnsi="Calibri" w:cs="Calibri"/>
          <w:color w:val="000000"/>
          <w:sz w:val="27"/>
          <w:szCs w:val="27"/>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w:t>
      </w:r>
      <w:r>
        <w:rPr>
          <w:rFonts w:ascii="Calibri" w:hAnsi="Calibri" w:cs="Calibri"/>
          <w:color w:val="000000"/>
          <w:sz w:val="27"/>
          <w:szCs w:val="27"/>
        </w:rPr>
        <w:lastRenderedPageBreak/>
        <w:t>infração, caso não se verifique a adequação da conduta por parte da Contratada, após o que deverão ser aplicadas sanções de grau mais significativo.</w:t>
      </w:r>
    </w:p>
    <w:p w14:paraId="479678A3"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a administração ou a terceiros.</w:t>
      </w:r>
    </w:p>
    <w:p w14:paraId="729ECEDE"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517309B1"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4547ACA2"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69B69AD1"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w:t>
      </w:r>
      <w:r>
        <w:rPr>
          <w:rFonts w:ascii="Calibri" w:hAnsi="Calibri" w:cs="Calibri"/>
          <w:color w:val="000000"/>
          <w:sz w:val="27"/>
          <w:szCs w:val="27"/>
        </w:rPr>
        <w:t> A sanção será obrigatoriamente registrada no Sistema de Cadastramento Unificado de Fornecedores – SICAF, bem como em sistemas Estaduais.</w:t>
      </w:r>
    </w:p>
    <w:p w14:paraId="1D5E2735"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4012E995"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 Tenham sofrido condenações definitivas por praticarem, por meio dolosos, fraude fiscal no recolhimento de tributos;</w:t>
      </w:r>
    </w:p>
    <w:p w14:paraId="3097BDFD"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 Tenham praticado atos ilícitos visando a frustrar os objetivos da licitação;</w:t>
      </w:r>
    </w:p>
    <w:p w14:paraId="486069FA"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III - Demonstrem não possuir idoneidade para contratar com a Administração em virtude de atos ilícitos praticados.</w:t>
      </w:r>
    </w:p>
    <w:p w14:paraId="35CE7835"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w:t>
      </w:r>
      <w:r>
        <w:rPr>
          <w:rFonts w:ascii="Calibri" w:hAnsi="Calibri" w:cs="Calibri"/>
          <w:color w:val="000000"/>
          <w:sz w:val="27"/>
          <w:szCs w:val="27"/>
        </w:rPr>
        <w:t> Para a contratada, que estiver total e/ou parcialmente inadimplente, serão aplicadas as sanções previstas nos artigos 86 e 87 da Lei Federal nº 8.666/93, a saber:</w:t>
      </w:r>
    </w:p>
    <w:p w14:paraId="4CE661AB"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 Advertência, sempre que for constatada irregularidade de pouca gravidade, para as quais tenha a Contratada concorrida diretamente, ocorrência que será registrada no Cadastro de Fornecedores do Estado de Rondônia.</w:t>
      </w:r>
    </w:p>
    <w:p w14:paraId="3D3DC3D9"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 Multa, cobrada pelo Estado, por via administrativa ou judicial,  de acordo com os casos descritos abaixo:</w:t>
      </w:r>
    </w:p>
    <w:p w14:paraId="058F36CD"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14:paraId="6235F737"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 Multa de 10% (dez por cento), na hipótese de inexecução parcial ou total de cada Nota de Empenho, calculada sobre o valor total da inadimplência ou na hipótese do não cumprimento de qualquer das obrigações assumidas.</w:t>
      </w:r>
    </w:p>
    <w:p w14:paraId="4B59E148"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c) As multas serão, após regular processo administrativo, descontadas dos créditos da empresa detentora da Ata ou, se for o caso, cobrada administrativa ou judicialmente.</w:t>
      </w:r>
    </w:p>
    <w:p w14:paraId="52245B00"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14:paraId="57C3F2A7"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IV - declaração de inidoneidade para licitar e contratar com a Administração Pública enquanto perdurarem os motivos determinantes da punição ou até que seja promovida a reabilitação perante a própria autoridade que aplicou a penalidade.</w:t>
      </w:r>
    </w:p>
    <w:p w14:paraId="1340E0D7"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 - As penalidades previstas no subitem 15.15, incisos I, II, III, IV têm caráter de sanção administrativa, consequentemente, a sua aplicação não exime a empresa detentora da Ata da reparação das eventuais perdas e danos que seu ato venha acarretar a Secretaria de Estado da Saúde e Estado de Rondônia.</w:t>
      </w:r>
    </w:p>
    <w:p w14:paraId="3AFE485C"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 - As penalidades são independentes e a aplicação de uma não exclui a das demais, quando cabíveis.</w:t>
      </w:r>
    </w:p>
    <w:p w14:paraId="482ACA5D"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VII - Se a multa aplicada for superior ao valor da garantia prestada, além da perda desta, responderá o contratado pela sua diferença, que será descontada dos pagamentos eventualmente devidos pela Administração ou cobrada judicialmente.</w:t>
      </w:r>
    </w:p>
    <w:p w14:paraId="2CA21C91"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VIII - As sanções previstas nos incisos I, III e IV deste subitem poderão ser aplicadas juntamente com a do inciso II, facultada a defesa prévia do interessado, no respectivo processo, no prazo de 5 (cinco) dias úteis.</w:t>
      </w:r>
    </w:p>
    <w:p w14:paraId="622EA4CA"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xml:space="preserve">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w:t>
      </w:r>
      <w:proofErr w:type="spellStart"/>
      <w:r>
        <w:rPr>
          <w:rStyle w:val="Forte"/>
          <w:rFonts w:ascii="Calibri" w:eastAsiaTheme="majorEastAsia" w:hAnsi="Calibri" w:cs="Calibri"/>
          <w:color w:val="000000"/>
          <w:sz w:val="27"/>
          <w:szCs w:val="27"/>
        </w:rPr>
        <w:t>art</w:t>
      </w:r>
      <w:proofErr w:type="spellEnd"/>
      <w:r>
        <w:rPr>
          <w:rStyle w:val="Forte"/>
          <w:rFonts w:ascii="Calibri" w:eastAsiaTheme="majorEastAsia" w:hAnsi="Calibri" w:cs="Calibri"/>
          <w:color w:val="000000"/>
          <w:sz w:val="27"/>
          <w:szCs w:val="27"/>
        </w:rPr>
        <w:t xml:space="preserve"> 109 inciso III da Lei Federal nº 8.666/93)</w:t>
      </w:r>
    </w:p>
    <w:p w14:paraId="3274C97A"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X - Aplica-se os efeitos da penalidade do subitem 9.15, IV à todos os entes Federativo e os efeitos do subitem 9.4 ao Ente Federativo que aplicou a sanção conforme posicionamento do STJ e PGE/RO.</w:t>
      </w:r>
    </w:p>
    <w:p w14:paraId="45621CF8"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Na hipótese de apresentar documentação inverossímil ou de cometer fraude, o licitante poderá sofrer, sem prejuízo da comunicação do ocorrido ao Ministério Público, quaisquer das sanções adiante previstas, que poderão ser aplicadas cumulativamente:</w:t>
      </w:r>
    </w:p>
    <w:p w14:paraId="5FFE3327"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9.16.1 -</w:t>
      </w:r>
      <w:r>
        <w:rPr>
          <w:rFonts w:ascii="Calibri" w:hAnsi="Calibri" w:cs="Calibri"/>
          <w:color w:val="000000"/>
          <w:sz w:val="27"/>
          <w:szCs w:val="27"/>
        </w:rPr>
        <w:t> Desclassificação, se a seleção se encontrar em fase de julgamento;</w:t>
      </w:r>
    </w:p>
    <w:p w14:paraId="35FD4FF0"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9.16.2 - </w:t>
      </w:r>
      <w:r>
        <w:rPr>
          <w:rFonts w:ascii="Calibri" w:hAnsi="Calibri" w:cs="Calibri"/>
          <w:color w:val="000000"/>
          <w:sz w:val="27"/>
          <w:szCs w:val="27"/>
        </w:rPr>
        <w:t>Cancelamento do preço registrado, procedendo-se à paralisação do fornecimento.</w:t>
      </w:r>
    </w:p>
    <w:p w14:paraId="51F06BD3"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9.16.3 - </w:t>
      </w:r>
      <w:r>
        <w:rPr>
          <w:rFonts w:ascii="Calibri" w:hAnsi="Calibri" w:cs="Calibri"/>
          <w:color w:val="000000"/>
          <w:sz w:val="27"/>
          <w:szCs w:val="27"/>
        </w:rPr>
        <w:t>O preço registrado poderá ser cancelado pela Administração Pública, nos termos do Artigo 24 e 25 do Decreto nº 18.340/2013, quando:</w:t>
      </w:r>
    </w:p>
    <w:p w14:paraId="0F655BFE"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9.16.3.1 - </w:t>
      </w:r>
      <w:r>
        <w:rPr>
          <w:rFonts w:ascii="Calibri" w:hAnsi="Calibri" w:cs="Calibri"/>
          <w:color w:val="000000"/>
          <w:sz w:val="27"/>
          <w:szCs w:val="27"/>
        </w:rPr>
        <w:t>A Detentora do Registro deixar de cumprir total ou parcial as condições da Ata de Registro de Preços.</w:t>
      </w:r>
    </w:p>
    <w:p w14:paraId="3E86C6B0"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9.16.3.2 -</w:t>
      </w:r>
      <w:r>
        <w:rPr>
          <w:rFonts w:ascii="Calibri" w:hAnsi="Calibri" w:cs="Calibri"/>
          <w:color w:val="000000"/>
          <w:sz w:val="27"/>
          <w:szCs w:val="27"/>
        </w:rPr>
        <w:t> A Detentora do Registro não retirar a nota de empenho ou instrumento equivalente no prazo estabelecido, sem justificativa aceita pela Administração;</w:t>
      </w:r>
    </w:p>
    <w:p w14:paraId="5381163E"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9.16.3.3 -</w:t>
      </w:r>
      <w:r>
        <w:rPr>
          <w:rFonts w:ascii="Calibri" w:hAnsi="Calibri" w:cs="Calibri"/>
          <w:color w:val="000000"/>
          <w:sz w:val="27"/>
          <w:szCs w:val="27"/>
        </w:rPr>
        <w:t> A detentora incorrer reiteradamente em infrações previstas no Edital;</w:t>
      </w:r>
    </w:p>
    <w:p w14:paraId="1A3F2D3B"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9.16.3.4 - </w:t>
      </w:r>
      <w:r>
        <w:rPr>
          <w:rFonts w:ascii="Calibri" w:hAnsi="Calibri" w:cs="Calibri"/>
          <w:color w:val="000000"/>
          <w:sz w:val="27"/>
          <w:szCs w:val="27"/>
        </w:rPr>
        <w:t>A Detentora do Registro que praticar atos fraudulentos no intuito de auferir vantagem ilícita;</w:t>
      </w:r>
    </w:p>
    <w:p w14:paraId="04B6E8B5"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9.16.3.5 - </w:t>
      </w:r>
      <w:r>
        <w:rPr>
          <w:rFonts w:ascii="Calibri" w:hAnsi="Calibri" w:cs="Calibri"/>
          <w:color w:val="000000"/>
          <w:sz w:val="27"/>
          <w:szCs w:val="27"/>
        </w:rPr>
        <w:t>Não aceitar reduzir o seu preço registrado, na hipótese deste se tornar superior aqueles praticados no mercador ou sofrer sanção prevista nos incisos III ou IV do caput do artigo 87 da Lei nº 8.666/93 ou no artigo 7º da Lei nº 10.520/2002.</w:t>
      </w:r>
    </w:p>
    <w:p w14:paraId="780A2B09"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9.16.3.6 - </w:t>
      </w:r>
      <w:r>
        <w:rPr>
          <w:rFonts w:ascii="Calibri" w:hAnsi="Calibri" w:cs="Calibri"/>
          <w:color w:val="000000"/>
          <w:sz w:val="27"/>
          <w:szCs w:val="27"/>
        </w:rPr>
        <w:t>Por razões de interesse público, mediante despacho motivado, devidamente justificado.</w:t>
      </w:r>
    </w:p>
    <w:p w14:paraId="3921FCD2"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9.16.3.7 - </w:t>
      </w:r>
      <w:r>
        <w:rPr>
          <w:rFonts w:ascii="Calibri" w:hAnsi="Calibri" w:cs="Calibri"/>
          <w:color w:val="000000"/>
          <w:sz w:val="27"/>
          <w:szCs w:val="27"/>
        </w:rPr>
        <w:t>O cancelamento do(s) registro(s) nas hipóteses dos subitens, 9.16.3.1, 9.16.3.2, 9.16.3.3, 9.16.3.4, 9.16.3.5, 9.16.3.6, será formalizado por despacho do órgão gerenciador, assegurado o contraditório e a ampla defesa.</w:t>
      </w:r>
    </w:p>
    <w:p w14:paraId="67ECC433"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9.16.3.8 - </w:t>
      </w:r>
      <w:r>
        <w:rPr>
          <w:rFonts w:ascii="Calibri" w:hAnsi="Calibri" w:cs="Calibri"/>
          <w:color w:val="000000"/>
          <w:sz w:val="27"/>
          <w:szCs w:val="27"/>
        </w:rPr>
        <w:t>O cancelamento do(s) registro nas hipóteses dos subitens acima, 9.16.3.1, 9.16.3.2, 9.16.3.3, 9.16.3.4, 9.16.3.5, acarretará ainda a aplicação das penalidades cabíveis, assegurado o contraditório e a ampla defesa.</w:t>
      </w:r>
    </w:p>
    <w:p w14:paraId="012FD669"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9.16.3.9 - </w:t>
      </w:r>
      <w:r>
        <w:rPr>
          <w:rFonts w:ascii="Calibri" w:hAnsi="Calibri" w:cs="Calibri"/>
          <w:color w:val="000000"/>
          <w:sz w:val="27"/>
          <w:szCs w:val="27"/>
        </w:rPr>
        <w:t>O cancelamento do registro de preços poderá ocorrer por fato superveniente, decorrente de caso fortuito ou força maior, que prejudique o cumprimento da ata, devidamente comprovados e justificados:</w:t>
      </w:r>
    </w:p>
    <w:p w14:paraId="2341339E"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Por razões de interesse público;</w:t>
      </w:r>
    </w:p>
    <w:p w14:paraId="1765F417"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a pedido do fornecedor, desde que devidamente fundamentado e justificando e estando em consonância com a legislação vigente.</w:t>
      </w:r>
    </w:p>
    <w:p w14:paraId="3D51E478"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14:paraId="09B6A414"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9.18 -</w:t>
      </w:r>
      <w:r>
        <w:rPr>
          <w:rFonts w:ascii="Calibri" w:hAnsi="Calibri" w:cs="Calibri"/>
          <w:color w:val="000000"/>
          <w:sz w:val="27"/>
          <w:szCs w:val="27"/>
        </w:rPr>
        <w:t> As sanções aqui previstas poderão ser aplicadas concomitantemente, facultada a defesa previa do interessado, no respectivo processo, no prazo de 05 (cinco) dias úteis.</w:t>
      </w:r>
    </w:p>
    <w:p w14:paraId="3EC15235"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9.19 -</w:t>
      </w:r>
      <w:r>
        <w:rPr>
          <w:rFonts w:ascii="Calibri" w:hAnsi="Calibri" w:cs="Calibri"/>
          <w:color w:val="000000"/>
          <w:sz w:val="27"/>
          <w:szCs w:val="27"/>
        </w:rPr>
        <w:t> Após 30 (trinta) dias corridos da falta de execução do objeto será considerada inexecução total do contrato, o que ensejara a rescisão contratual.</w:t>
      </w:r>
    </w:p>
    <w:p w14:paraId="197B84E9"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32A6A753"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E6DFC56"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C763946"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7E7FF796"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0E4A2870"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4DFDF660"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22E1A8BA"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4612B7F8"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57287B1C"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4707CF17"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1A0911B"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57EB73ED"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7ECB30FF"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5423A809"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76F255C8"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xml:space="preserve"> Nos termos do § 2° do Decreto 25.969/2021, se comprovada a majoração dos valores de mercado nas hipóteses da alínea “d” do inciso II do artigo 65 da Lei n° 8.666, de 1993, o órgão gerenciador da Ata convocará, antes da efetiva alteração de preços, as demais licitantes na ordem </w:t>
      </w:r>
      <w:r>
        <w:rPr>
          <w:rFonts w:ascii="Calibri" w:hAnsi="Calibri" w:cs="Calibri"/>
          <w:color w:val="000000"/>
          <w:sz w:val="27"/>
          <w:szCs w:val="27"/>
        </w:rPr>
        <w:lastRenderedPageBreak/>
        <w:t>de classificação original para que manifestem interesse em manter o preço original registrado em ata, de modo que, inexistindo interessados dispostos em manter o valor da ARP; os preços poderão ser revisados conforme disposto no caput  artigo 23B.</w:t>
      </w:r>
    </w:p>
    <w:p w14:paraId="49D1C4CE"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0F77E316"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054F8B14"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579727B3"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CDAE906"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52A73B4"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58A5A924"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6656A15E"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24798471"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64DAAF1A"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347C604C"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22871402"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331766BF"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23CD74F2"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1C0C2D4D"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1A329E18"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22E7BE43"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F7AC504"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13E4F888"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521F3739"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129659EE"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2D04B93B"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2942E7FF"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06CAFA21"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 hipótese alguma, pagamento antecipado.</w:t>
      </w:r>
    </w:p>
    <w:p w14:paraId="33EA8B52"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7EF9FA1"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4ECBD155"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7C2A8EA7"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SESAU - </w:t>
      </w:r>
      <w:r>
        <w:rPr>
          <w:rFonts w:ascii="Calibri" w:hAnsi="Calibri" w:cs="Calibri"/>
          <w:color w:val="000000"/>
          <w:sz w:val="27"/>
          <w:szCs w:val="27"/>
        </w:rPr>
        <w:t>Secretaria do Estado da Saúde de Rondônia.</w:t>
      </w:r>
    </w:p>
    <w:p w14:paraId="07AFA8A3"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8E53460"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0C174BCD"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74C3B3F0"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12DAEE6F"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73F9CFB2"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51A1C26B"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AC6C4C" w14:textId="77777777" w:rsidR="00911E23" w:rsidRDefault="00911E23" w:rsidP="00911E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85F88"/>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4020</Words>
  <Characters>22168</Characters>
  <Application>Microsoft Office Word</Application>
  <DocSecurity>0</DocSecurity>
  <Lines>184</Lines>
  <Paragraphs>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2021-11-10T12:34:00Z</dcterms:created>
  <dcterms:modified xsi:type="dcterms:W3CDTF">2021-11-10T12:35:00Z</dcterms:modified>
</cp:coreProperties>
</file>