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9F99AA9"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245/2021</w:t>
      </w:r>
    </w:p>
    <w:p w14:paraId="47AF0948"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333/2021</w:t>
      </w:r>
    </w:p>
    <w:p w14:paraId="2103D85D"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0036.090020/2018-94</w:t>
      </w:r>
    </w:p>
    <w:p w14:paraId="2B902D05"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1BEC5C"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para atender o Banco de Olhos de Rondônia – BORO e o Serviço de Transplantes de Tecidos Oculares do Hospital de Base “Dr. Ary Pinheiro”, a pedido da Secretaria de Estado da Saúde de Rondônia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B477391"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295BF6"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0B9E7DA"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para atender o Banco de Olhos de Rondônia – BORO e o Serviço de Transplantes de Tecidos Oculares do Hospital de Base “Dr. Ary Pinheiro”, a pedido da Secretaria de Estado da Saúde de Rondônia – </w:t>
      </w:r>
      <w:r>
        <w:rPr>
          <w:rStyle w:val="Forte"/>
          <w:rFonts w:ascii="Calibri" w:eastAsiaTheme="majorEastAsia" w:hAnsi="Calibri" w:cs="Calibri"/>
          <w:color w:val="000000"/>
          <w:sz w:val="27"/>
          <w:szCs w:val="27"/>
        </w:rPr>
        <w:t>SESAU</w:t>
      </w:r>
    </w:p>
    <w:p w14:paraId="170056DC"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3110666"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F2F2DAE"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FF82FA7"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F48D011"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762F111"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59C711A9"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4FD5D3B"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EE7C4C"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6233D9C"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50FF66E2"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1AC470"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2AEF02D0"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2E4B9E6F"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609DCFF"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36FDFDA"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5EB9765"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A1BD86E"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94ACC87"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35952558"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5C673B1"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9511529"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para entrega deverá ocorrer em até 30 (trinta) dias após o recebimento da nota de empenho.</w:t>
      </w:r>
    </w:p>
    <w:p w14:paraId="56A580CA"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no Almoxarifado Central/SESAU: Av. Rio Madeira, 603 - Bairro Lagoa – Porto Velho/RO – CEP: 76.820.025. Os dias de funcionamento são de segunda a sexta – feira, sendo de 07 h 30 min às 13 h 30 min.</w:t>
      </w:r>
    </w:p>
    <w:p w14:paraId="264A9662"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77EEA4"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20AD688"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4D4E7C9"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6CCF5B1"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6FFA61D0"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73875295"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29781F3B"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52F314"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943F52D"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F216797"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8FBC1A"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182FFB24"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14:paraId="03C24D11"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Advertência, por escrito, sempre que forem constatadas falhas na execução dos serviços;</w:t>
      </w:r>
    </w:p>
    <w:p w14:paraId="50132AC0"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b) Multa, conforme descrito na tabela 01, até o 30º (trigésimo) dia de atraso no cumprimento das obrigações;</w:t>
      </w:r>
    </w:p>
    <w:p w14:paraId="0A5BF855"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Multa de 10 % (dez por cento) do valor total contratado, a partir do 31º (trigésimo primeiro dia) de atraso, o que ensejará a rescisão contratual;</w:t>
      </w:r>
    </w:p>
    <w:p w14:paraId="05529851"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Suspensão temporária de participação em licitação e impedimento de contratar com a Administração por prazo não superior a 05 (cinco) anos, de acordo com o Decreto nº 10.024/2019;</w:t>
      </w:r>
    </w:p>
    <w:p w14:paraId="4CAA212F"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14:paraId="35C7E609"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50D0B891"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72456F96"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Após 30 (trinta) dias da falta de execução do objeto, será considerada inexecução total do contrato, o que ensejará a rescisão contratual.</w:t>
      </w:r>
    </w:p>
    <w:p w14:paraId="6CD6B052"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03372A1C"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14:paraId="7657326F"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14:paraId="0A36CA5C"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FDE38A"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110F2736"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D6002AF"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3753B2AA"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0F9FB5A"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12C6C23"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103D3649"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7585182"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3BAA8A"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60A4075"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257978E"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55DEE44"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F8A6BB6"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C530A1F"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8B81B69"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A003DF3"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6554C9A"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6861B2"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78DAE1"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371D530"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10C5833"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1A05420"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EC820ED"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EA3E61C"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0BF9AFC"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31A99515"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1C910CF"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996A84C"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3C32FF2"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42132391"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48448B"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67A84A7"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53FD3C3"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4CAB9231"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D143E09"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C9CD01D"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6E8B14A"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07E64C09"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FFBB2E"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5BC993E"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F4FCEF1"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 de Rondônia.</w:t>
      </w:r>
    </w:p>
    <w:p w14:paraId="13C2D14A"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E3C047"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435426B4"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E5DA91A"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A2CF887"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A4721B7"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w:t>
      </w:r>
    </w:p>
    <w:p w14:paraId="45E55F0B"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7C029D"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Edital de Licitação e seus anexos;</w:t>
      </w:r>
    </w:p>
    <w:p w14:paraId="2F7CFDCE"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w:t>
      </w:r>
      <w:r>
        <w:rPr>
          <w:rStyle w:val="Forte"/>
          <w:rFonts w:ascii="Calibri" w:eastAsiaTheme="majorEastAsia" w:hAnsi="Calibri" w:cs="Calibri"/>
          <w:color w:val="000000"/>
          <w:sz w:val="27"/>
          <w:szCs w:val="27"/>
        </w:rPr>
        <w:t>ANEXO I, </w:t>
      </w:r>
      <w:r>
        <w:rPr>
          <w:rFonts w:ascii="Calibri" w:hAnsi="Calibri" w:cs="Calibri"/>
          <w:color w:val="000000"/>
          <w:sz w:val="27"/>
          <w:szCs w:val="27"/>
        </w:rPr>
        <w:t>planilha com os preços registrados e respectivos detentores;</w:t>
      </w:r>
    </w:p>
    <w:p w14:paraId="69218739"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3. </w:t>
      </w:r>
      <w:r>
        <w:rPr>
          <w:rStyle w:val="Forte"/>
          <w:rFonts w:ascii="Calibri" w:eastAsiaTheme="majorEastAsia" w:hAnsi="Calibri" w:cs="Calibri"/>
          <w:color w:val="000000"/>
          <w:sz w:val="27"/>
          <w:szCs w:val="27"/>
        </w:rPr>
        <w:t>ANEXO II</w:t>
      </w:r>
      <w:r>
        <w:rPr>
          <w:rFonts w:ascii="Calibri" w:hAnsi="Calibri" w:cs="Calibri"/>
          <w:color w:val="000000"/>
          <w:sz w:val="27"/>
          <w:szCs w:val="27"/>
        </w:rPr>
        <w:t>, Registro dos licitantes que aceitaram cotar os bens ou serviços com preço iguais do licitante vencedor, na sequência da classificação do certame, formando o </w:t>
      </w:r>
      <w:r>
        <w:rPr>
          <w:rStyle w:val="Forte"/>
          <w:rFonts w:ascii="Calibri" w:eastAsiaTheme="majorEastAsia" w:hAnsi="Calibri" w:cs="Calibri"/>
          <w:color w:val="000000"/>
          <w:sz w:val="27"/>
          <w:szCs w:val="27"/>
        </w:rPr>
        <w:t>CADASTRO DE RESERVA</w:t>
      </w:r>
      <w:r>
        <w:rPr>
          <w:rFonts w:ascii="Calibri" w:hAnsi="Calibri" w:cs="Calibri"/>
          <w:color w:val="000000"/>
          <w:sz w:val="27"/>
          <w:szCs w:val="27"/>
        </w:rPr>
        <w:t>.</w:t>
      </w:r>
    </w:p>
    <w:p w14:paraId="464D892C"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94334E" w14:textId="77777777" w:rsidR="00E92BC6" w:rsidRDefault="00E92BC6" w:rsidP="00E92BC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5A86292" w14:textId="4AB88C22"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EC3B1C"/>
    <w:multiLevelType w:val="multilevel"/>
    <w:tmpl w:val="9DC07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4F75"/>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289C"/>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5313"/>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904"/>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2BC6"/>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17798277">
      <w:bodyDiv w:val="1"/>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1923484">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2069914">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7732704">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2753</Words>
  <Characters>14868</Characters>
  <Application>Microsoft Office Word</Application>
  <DocSecurity>0</DocSecurity>
  <Lines>123</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2021-10-19T14:10:00Z</dcterms:created>
  <dcterms:modified xsi:type="dcterms:W3CDTF">2021-10-19T14:11:00Z</dcterms:modified>
</cp:coreProperties>
</file>