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CB" w:rsidRDefault="00E50E83">
      <w:pPr>
        <w:tabs>
          <w:tab w:val="center" w:pos="5600"/>
        </w:tabs>
        <w:spacing w:after="0" w:line="240" w:lineRule="auto"/>
        <w:jc w:val="center"/>
        <w:rPr>
          <w:b/>
          <w:sz w:val="24"/>
          <w:szCs w:val="24"/>
        </w:rPr>
      </w:pPr>
      <w:r>
        <w:rPr>
          <w:b/>
          <w:sz w:val="24"/>
          <w:szCs w:val="24"/>
        </w:rPr>
        <w:t>ANEXO VI</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910CB">
        <w:tc>
          <w:tcPr>
            <w:tcW w:w="9628" w:type="dxa"/>
            <w:shd w:val="clear" w:color="auto" w:fill="BFBFBF"/>
          </w:tcPr>
          <w:p w:rsidR="004910CB" w:rsidRDefault="00E50E83">
            <w:pPr>
              <w:jc w:val="center"/>
              <w:rPr>
                <w:b/>
              </w:rPr>
            </w:pPr>
            <w:r>
              <w:rPr>
                <w:b/>
              </w:rPr>
              <w:t>TERMO DE COMPROMISSO</w:t>
            </w:r>
          </w:p>
        </w:tc>
      </w:tr>
      <w:tr w:rsidR="004910CB">
        <w:tc>
          <w:tcPr>
            <w:tcW w:w="9628" w:type="dxa"/>
          </w:tcPr>
          <w:p w:rsidR="004910CB" w:rsidRDefault="00E50E83">
            <w:pPr>
              <w:numPr>
                <w:ilvl w:val="0"/>
                <w:numId w:val="1"/>
              </w:numPr>
              <w:pBdr>
                <w:top w:val="nil"/>
                <w:left w:val="nil"/>
                <w:bottom w:val="nil"/>
                <w:right w:val="nil"/>
                <w:between w:val="nil"/>
              </w:pBdr>
              <w:spacing w:line="259" w:lineRule="auto"/>
              <w:rPr>
                <w:color w:val="000000"/>
                <w:sz w:val="24"/>
                <w:szCs w:val="24"/>
                <w:u w:val="single"/>
              </w:rPr>
            </w:pPr>
            <w:r>
              <w:rPr>
                <w:b/>
                <w:color w:val="000000"/>
              </w:rPr>
              <w:t>COMPROMITENTE: </w:t>
            </w:r>
          </w:p>
          <w:p w:rsidR="004910CB" w:rsidRDefault="00E50E83">
            <w:pPr>
              <w:pBdr>
                <w:top w:val="nil"/>
                <w:left w:val="nil"/>
                <w:bottom w:val="nil"/>
                <w:right w:val="nil"/>
                <w:between w:val="nil"/>
              </w:pBdr>
              <w:spacing w:line="259" w:lineRule="auto"/>
              <w:ind w:left="360"/>
              <w:rPr>
                <w:color w:val="000000"/>
              </w:rPr>
            </w:pPr>
            <w:r>
              <w:rPr>
                <w:color w:val="000000"/>
              </w:rPr>
              <w:t>O </w:t>
            </w:r>
            <w:r>
              <w:rPr>
                <w:b/>
                <w:color w:val="000000"/>
              </w:rPr>
              <w:t>ESTADO DE RONDÔNIA</w:t>
            </w:r>
            <w:r>
              <w:rPr>
                <w:color w:val="000000"/>
              </w:rPr>
              <w:t>, pessoa jurídica de direito público interno, por intermédio da </w:t>
            </w:r>
            <w:r>
              <w:rPr>
                <w:b/>
                <w:color w:val="000000"/>
              </w:rPr>
              <w:t>SUPERINTENDÊNCIA DA JUVETUDE CULTURA E LAZER</w:t>
            </w:r>
            <w:r>
              <w:rPr>
                <w:color w:val="000000"/>
              </w:rPr>
              <w:t>, pessoa jurídica </w:t>
            </w:r>
            <w:r>
              <w:rPr>
                <w:b/>
                <w:color w:val="000000"/>
              </w:rPr>
              <w:t>CNPJ: 00.394.585/0010-62de</w:t>
            </w:r>
            <w:r>
              <w:rPr>
                <w:color w:val="000000"/>
              </w:rPr>
              <w:t> direito público interno, órgão da Administração Direta do Poder Executivo, representada legalmente pelo Superintendente JOBSON BANDEIRA DOS SANTOS, brasileiro, casado, servidor público, portadora do CPF nº 642.199.762-72 e RG nº 557004.</w:t>
            </w:r>
          </w:p>
          <w:p w:rsidR="004910CB" w:rsidRDefault="004910CB">
            <w:pPr>
              <w:pBdr>
                <w:top w:val="nil"/>
                <w:left w:val="nil"/>
                <w:bottom w:val="nil"/>
                <w:right w:val="nil"/>
                <w:between w:val="nil"/>
              </w:pBdr>
              <w:spacing w:line="259" w:lineRule="auto"/>
              <w:ind w:left="360"/>
              <w:rPr>
                <w:color w:val="000000"/>
              </w:rPr>
            </w:pPr>
          </w:p>
          <w:p w:rsidR="004910CB" w:rsidRDefault="00E50E83">
            <w:pPr>
              <w:numPr>
                <w:ilvl w:val="0"/>
                <w:numId w:val="1"/>
              </w:numPr>
              <w:pBdr>
                <w:top w:val="nil"/>
                <w:left w:val="nil"/>
                <w:bottom w:val="nil"/>
                <w:right w:val="nil"/>
                <w:between w:val="nil"/>
              </w:pBdr>
              <w:spacing w:after="160" w:line="259" w:lineRule="auto"/>
              <w:rPr>
                <w:color w:val="000000"/>
                <w:sz w:val="24"/>
                <w:szCs w:val="24"/>
                <w:u w:val="single"/>
              </w:rPr>
            </w:pPr>
            <w:r>
              <w:rPr>
                <w:b/>
                <w:color w:val="000000"/>
              </w:rPr>
              <w:t>COMPROMISSADO:</w:t>
            </w:r>
          </w:p>
          <w:tbl>
            <w:tblPr>
              <w:tblStyle w:val="a0"/>
              <w:tblW w:w="90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1418"/>
              <w:gridCol w:w="37"/>
              <w:gridCol w:w="4521"/>
            </w:tblGrid>
            <w:tr w:rsidR="004910CB">
              <w:trPr>
                <w:jc w:val="center"/>
              </w:trPr>
              <w:tc>
                <w:tcPr>
                  <w:tcW w:w="9042" w:type="dxa"/>
                  <w:gridSpan w:val="4"/>
                  <w:vAlign w:val="center"/>
                </w:tcPr>
                <w:p w:rsidR="004910CB" w:rsidRDefault="00E50E83">
                  <w:r>
                    <w:t>No</w:t>
                  </w:r>
                  <w:r>
                    <w:t>me:</w:t>
                  </w:r>
                </w:p>
              </w:tc>
            </w:tr>
            <w:tr w:rsidR="004910CB">
              <w:trPr>
                <w:jc w:val="center"/>
              </w:trPr>
              <w:tc>
                <w:tcPr>
                  <w:tcW w:w="4484" w:type="dxa"/>
                  <w:gridSpan w:val="2"/>
                  <w:vAlign w:val="center"/>
                </w:tcPr>
                <w:p w:rsidR="004910CB" w:rsidRDefault="00E50E83">
                  <w:r>
                    <w:t>CPF/CNPJ:</w:t>
                  </w:r>
                </w:p>
              </w:tc>
              <w:tc>
                <w:tcPr>
                  <w:tcW w:w="4558" w:type="dxa"/>
                  <w:gridSpan w:val="2"/>
                  <w:vAlign w:val="center"/>
                </w:tcPr>
                <w:p w:rsidR="004910CB" w:rsidRDefault="00E50E83">
                  <w:r>
                    <w:t>RG:</w:t>
                  </w:r>
                </w:p>
              </w:tc>
            </w:tr>
            <w:tr w:rsidR="004910CB">
              <w:trPr>
                <w:jc w:val="center"/>
              </w:trPr>
              <w:tc>
                <w:tcPr>
                  <w:tcW w:w="9042" w:type="dxa"/>
                  <w:gridSpan w:val="4"/>
                  <w:vAlign w:val="center"/>
                </w:tcPr>
                <w:p w:rsidR="004910CB" w:rsidRDefault="00E50E83">
                  <w:r>
                    <w:t>Endereço:</w:t>
                  </w:r>
                </w:p>
              </w:tc>
            </w:tr>
            <w:tr w:rsidR="004910CB">
              <w:trPr>
                <w:jc w:val="center"/>
              </w:trPr>
              <w:tc>
                <w:tcPr>
                  <w:tcW w:w="4521" w:type="dxa"/>
                  <w:gridSpan w:val="3"/>
                  <w:vAlign w:val="center"/>
                </w:tcPr>
                <w:p w:rsidR="004910CB" w:rsidRDefault="00E50E83">
                  <w:r>
                    <w:t>Bairro:</w:t>
                  </w:r>
                </w:p>
              </w:tc>
              <w:tc>
                <w:tcPr>
                  <w:tcW w:w="4521" w:type="dxa"/>
                  <w:vAlign w:val="center"/>
                </w:tcPr>
                <w:p w:rsidR="004910CB" w:rsidRDefault="00E50E83">
                  <w:r>
                    <w:t>Cidade:</w:t>
                  </w:r>
                </w:p>
              </w:tc>
            </w:tr>
            <w:tr w:rsidR="004910CB">
              <w:trPr>
                <w:jc w:val="center"/>
              </w:trPr>
              <w:tc>
                <w:tcPr>
                  <w:tcW w:w="4521" w:type="dxa"/>
                  <w:gridSpan w:val="3"/>
                  <w:vAlign w:val="center"/>
                </w:tcPr>
                <w:p w:rsidR="004910CB" w:rsidRDefault="00E50E83">
                  <w:r>
                    <w:t>UF:</w:t>
                  </w:r>
                </w:p>
              </w:tc>
              <w:tc>
                <w:tcPr>
                  <w:tcW w:w="4521" w:type="dxa"/>
                  <w:vAlign w:val="center"/>
                </w:tcPr>
                <w:p w:rsidR="004910CB" w:rsidRDefault="00E50E83">
                  <w:r>
                    <w:t>CEP:</w:t>
                  </w:r>
                </w:p>
              </w:tc>
            </w:tr>
            <w:tr w:rsidR="004910CB">
              <w:trPr>
                <w:jc w:val="center"/>
              </w:trPr>
              <w:tc>
                <w:tcPr>
                  <w:tcW w:w="3066" w:type="dxa"/>
                  <w:vAlign w:val="center"/>
                </w:tcPr>
                <w:p w:rsidR="004910CB" w:rsidRDefault="00E50E83">
                  <w:r>
                    <w:t>Telefone:</w:t>
                  </w:r>
                </w:p>
              </w:tc>
              <w:tc>
                <w:tcPr>
                  <w:tcW w:w="5976" w:type="dxa"/>
                  <w:gridSpan w:val="3"/>
                  <w:vAlign w:val="center"/>
                </w:tcPr>
                <w:p w:rsidR="004910CB" w:rsidRDefault="00E50E83">
                  <w:r>
                    <w:t>E-mail:</w:t>
                  </w:r>
                </w:p>
              </w:tc>
            </w:tr>
          </w:tbl>
          <w:p w:rsidR="004910CB" w:rsidRDefault="004910CB">
            <w:pPr>
              <w:pBdr>
                <w:top w:val="nil"/>
                <w:left w:val="nil"/>
                <w:bottom w:val="nil"/>
                <w:right w:val="nil"/>
                <w:between w:val="nil"/>
              </w:pBdr>
              <w:spacing w:line="259" w:lineRule="auto"/>
              <w:ind w:left="360"/>
              <w:rPr>
                <w:color w:val="000000"/>
                <w:sz w:val="24"/>
                <w:szCs w:val="24"/>
                <w:u w:val="single"/>
              </w:rPr>
            </w:pPr>
          </w:p>
          <w:p w:rsidR="004910CB" w:rsidRDefault="00E50E83">
            <w:pPr>
              <w:numPr>
                <w:ilvl w:val="0"/>
                <w:numId w:val="1"/>
              </w:numPr>
              <w:pBdr>
                <w:top w:val="nil"/>
                <w:left w:val="nil"/>
                <w:bottom w:val="nil"/>
                <w:right w:val="nil"/>
                <w:between w:val="nil"/>
              </w:pBdr>
              <w:spacing w:after="160" w:line="259" w:lineRule="auto"/>
              <w:rPr>
                <w:color w:val="000000"/>
                <w:sz w:val="24"/>
                <w:szCs w:val="24"/>
                <w:u w:val="single"/>
              </w:rPr>
            </w:pPr>
            <w:r>
              <w:rPr>
                <w:b/>
                <w:color w:val="000000"/>
              </w:rPr>
              <w:t> DO OBJETO</w:t>
            </w:r>
          </w:p>
          <w:p w:rsidR="004910CB" w:rsidRDefault="00E50E83">
            <w:pPr>
              <w:ind w:left="360"/>
              <w:rPr>
                <w:color w:val="000000"/>
              </w:rPr>
            </w:pPr>
            <w:r>
              <w:rPr>
                <w:color w:val="000000"/>
              </w:rPr>
              <w:t>O objeto deste Edital é o credenciamento de  pessoas FÍSICAS e/ou pessoas JURÍDICAS, com </w:t>
            </w:r>
            <w:r>
              <w:rPr>
                <w:color w:val="000000"/>
                <w:u w:val="single"/>
              </w:rPr>
              <w:t>abrangência nacional</w:t>
            </w:r>
            <w:r>
              <w:rPr>
                <w:color w:val="000000"/>
              </w:rPr>
              <w:t>,  curadores   para a PRESTAÇÃO DE SERVIÇOS EM AVALIAÇÃO DE PROPOSTAS/PROJETOS CULTURAIS</w:t>
            </w:r>
            <w:r>
              <w:rPr>
                <w:b/>
                <w:color w:val="000000"/>
              </w:rPr>
              <w:t>, </w:t>
            </w:r>
            <w:r>
              <w:rPr>
                <w:color w:val="000000"/>
              </w:rPr>
              <w:t>que irão atender aos Editais Emergenciais para a execução da Lei Nº 14.017/2020 - Aldir Blanc, em todo o estado de Rondônia, e Lei 14.150, alteração da Lei Aldir Blanc, de, 10 de junho de 2021 a serem publicados pela SUPERINTENDÊNCIA DA JUVENTUDE,  CULTURA</w:t>
            </w:r>
            <w:r>
              <w:rPr>
                <w:color w:val="000000"/>
              </w:rPr>
              <w:t>, ESPORTE E LAZER </w:t>
            </w:r>
            <w:r>
              <w:rPr>
                <w:b/>
                <w:color w:val="000000"/>
              </w:rPr>
              <w:t>- </w:t>
            </w:r>
            <w:r>
              <w:rPr>
                <w:color w:val="000000"/>
              </w:rPr>
              <w:t>SEJUCEL, através da Coordenação de Cultura - CODEC. </w:t>
            </w:r>
          </w:p>
          <w:p w:rsidR="004910CB" w:rsidRDefault="004910CB">
            <w:pPr>
              <w:ind w:left="360"/>
              <w:rPr>
                <w:color w:val="000000"/>
              </w:rPr>
            </w:pPr>
          </w:p>
          <w:p w:rsidR="004910CB" w:rsidRDefault="00E50E83">
            <w:pPr>
              <w:numPr>
                <w:ilvl w:val="0"/>
                <w:numId w:val="1"/>
              </w:numPr>
              <w:pBdr>
                <w:top w:val="nil"/>
                <w:left w:val="nil"/>
                <w:bottom w:val="nil"/>
                <w:right w:val="nil"/>
                <w:between w:val="nil"/>
              </w:pBdr>
              <w:spacing w:line="259" w:lineRule="auto"/>
              <w:rPr>
                <w:color w:val="000000"/>
                <w:sz w:val="24"/>
                <w:szCs w:val="24"/>
                <w:u w:val="single"/>
              </w:rPr>
            </w:pPr>
            <w:r>
              <w:rPr>
                <w:b/>
                <w:color w:val="000000"/>
              </w:rPr>
              <w:t>DO APORTE FINANCEIRO</w:t>
            </w:r>
            <w:r>
              <w:rPr>
                <w:color w:val="000000"/>
              </w:rPr>
              <w:t> </w:t>
            </w:r>
          </w:p>
          <w:p w:rsidR="004910CB" w:rsidRDefault="00E50E83">
            <w:pPr>
              <w:pBdr>
                <w:top w:val="nil"/>
                <w:left w:val="nil"/>
                <w:bottom w:val="nil"/>
                <w:right w:val="nil"/>
                <w:between w:val="nil"/>
              </w:pBdr>
              <w:spacing w:after="160" w:line="259" w:lineRule="auto"/>
              <w:ind w:left="360"/>
              <w:rPr>
                <w:color w:val="000000"/>
              </w:rPr>
            </w:pPr>
            <w:r>
              <w:rPr>
                <w:color w:val="000000"/>
              </w:rPr>
              <w:t>As despesas decorrentes do presente instrumento, são oriundas da transferência direta do Governo Federal para Fundo Estadual de Desenvolvimento da Cultura – FEDEC, e o Decreto Estadual nº </w:t>
            </w:r>
            <w:r>
              <w:rPr>
                <w:color w:val="000000"/>
                <w:u w:val="single"/>
              </w:rPr>
              <w:t>20.043</w:t>
            </w:r>
            <w:r>
              <w:rPr>
                <w:color w:val="000000"/>
              </w:rPr>
              <w:t xml:space="preserve"> através Lei 14.017/2020 e Lei 14.150, alteração da Lei Aldir </w:t>
            </w:r>
            <w:r>
              <w:rPr>
                <w:color w:val="000000"/>
              </w:rPr>
              <w:t>Blanc, de, 10 de junho de 2021, para o desenvolvimento das ações deste Edital têm por base a (LEI N. 3.678, DE 27 DE NOVEMBRO DE 2015) do plano Estadual de Cultura. </w:t>
            </w:r>
          </w:p>
          <w:tbl>
            <w:tblPr>
              <w:tblStyle w:val="a1"/>
              <w:tblW w:w="90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014"/>
              <w:gridCol w:w="3014"/>
            </w:tblGrid>
            <w:tr w:rsidR="004910CB">
              <w:trPr>
                <w:jc w:val="center"/>
              </w:trPr>
              <w:tc>
                <w:tcPr>
                  <w:tcW w:w="3014" w:type="dxa"/>
                  <w:vAlign w:val="center"/>
                </w:tcPr>
                <w:p w:rsidR="004910CB" w:rsidRDefault="00E50E83">
                  <w:pPr>
                    <w:pBdr>
                      <w:top w:val="nil"/>
                      <w:left w:val="nil"/>
                      <w:bottom w:val="nil"/>
                      <w:right w:val="nil"/>
                      <w:between w:val="nil"/>
                    </w:pBdr>
                    <w:ind w:left="60" w:right="60"/>
                    <w:jc w:val="center"/>
                    <w:rPr>
                      <w:color w:val="000000"/>
                    </w:rPr>
                  </w:pPr>
                  <w:r>
                    <w:rPr>
                      <w:color w:val="000000"/>
                    </w:rPr>
                    <w:t>Programa</w:t>
                  </w:r>
                </w:p>
              </w:tc>
              <w:tc>
                <w:tcPr>
                  <w:tcW w:w="3014" w:type="dxa"/>
                  <w:vAlign w:val="center"/>
                </w:tcPr>
                <w:p w:rsidR="004910CB" w:rsidRDefault="00E50E83">
                  <w:pPr>
                    <w:pBdr>
                      <w:top w:val="nil"/>
                      <w:left w:val="nil"/>
                      <w:bottom w:val="nil"/>
                      <w:right w:val="nil"/>
                      <w:between w:val="nil"/>
                    </w:pBdr>
                    <w:ind w:left="60" w:right="60"/>
                    <w:jc w:val="center"/>
                    <w:rPr>
                      <w:color w:val="000000"/>
                    </w:rPr>
                  </w:pPr>
                  <w:r>
                    <w:rPr>
                      <w:color w:val="000000"/>
                    </w:rPr>
                    <w:t>Elemento de despesa</w:t>
                  </w:r>
                </w:p>
              </w:tc>
              <w:tc>
                <w:tcPr>
                  <w:tcW w:w="3014" w:type="dxa"/>
                  <w:vAlign w:val="center"/>
                </w:tcPr>
                <w:p w:rsidR="004910CB" w:rsidRDefault="00E50E83">
                  <w:pPr>
                    <w:pBdr>
                      <w:top w:val="nil"/>
                      <w:left w:val="nil"/>
                      <w:bottom w:val="nil"/>
                      <w:right w:val="nil"/>
                      <w:between w:val="nil"/>
                    </w:pBdr>
                    <w:ind w:left="60" w:right="60"/>
                    <w:jc w:val="center"/>
                    <w:rPr>
                      <w:color w:val="000000"/>
                    </w:rPr>
                  </w:pPr>
                  <w:r>
                    <w:rPr>
                      <w:color w:val="000000"/>
                    </w:rPr>
                    <w:t>Fonte</w:t>
                  </w:r>
                </w:p>
              </w:tc>
            </w:tr>
            <w:tr w:rsidR="004910CB">
              <w:trPr>
                <w:jc w:val="center"/>
              </w:trPr>
              <w:tc>
                <w:tcPr>
                  <w:tcW w:w="3014" w:type="dxa"/>
                  <w:vAlign w:val="center"/>
                </w:tcPr>
                <w:p w:rsidR="004910CB" w:rsidRDefault="00E50E83">
                  <w:r>
                    <w:t>16.004.13.392.1215.4023 – Gerenciar o Fundo Estadual d</w:t>
                  </w:r>
                  <w:r>
                    <w:t>e Desenvolvimento da Cultura – FEDEC</w:t>
                  </w:r>
                </w:p>
              </w:tc>
              <w:tc>
                <w:tcPr>
                  <w:tcW w:w="3014" w:type="dxa"/>
                  <w:vAlign w:val="center"/>
                </w:tcPr>
                <w:p w:rsidR="004910CB" w:rsidRDefault="00E50E83">
                  <w:r>
                    <w:t>16.004.13.392.1215.4023 – Gerenciar o Fundo Estadual de Desenvolvimento da Cultura – FEDEC</w:t>
                  </w:r>
                </w:p>
              </w:tc>
              <w:tc>
                <w:tcPr>
                  <w:tcW w:w="3014" w:type="dxa"/>
                  <w:vAlign w:val="center"/>
                </w:tcPr>
                <w:p w:rsidR="004910CB" w:rsidRDefault="00E50E83">
                  <w:r>
                    <w:t>16.004.13.392.1215.4023 – Gerenciar o Fundo Estadual de Desenvolvimento da Cultura – FEDEC</w:t>
                  </w:r>
                </w:p>
              </w:tc>
            </w:tr>
          </w:tbl>
          <w:p w:rsidR="004910CB" w:rsidRDefault="004910CB">
            <w:pPr>
              <w:pBdr>
                <w:top w:val="nil"/>
                <w:left w:val="nil"/>
                <w:bottom w:val="nil"/>
                <w:right w:val="nil"/>
                <w:between w:val="nil"/>
              </w:pBdr>
              <w:spacing w:line="259" w:lineRule="auto"/>
              <w:ind w:left="360"/>
              <w:rPr>
                <w:color w:val="000000"/>
                <w:sz w:val="24"/>
                <w:szCs w:val="24"/>
                <w:u w:val="single"/>
              </w:rPr>
            </w:pPr>
          </w:p>
          <w:p w:rsidR="004910CB" w:rsidRDefault="00E50E83">
            <w:pPr>
              <w:numPr>
                <w:ilvl w:val="0"/>
                <w:numId w:val="1"/>
              </w:numPr>
              <w:pBdr>
                <w:top w:val="nil"/>
                <w:left w:val="nil"/>
                <w:bottom w:val="nil"/>
                <w:right w:val="nil"/>
                <w:between w:val="nil"/>
              </w:pBdr>
              <w:spacing w:line="259" w:lineRule="auto"/>
              <w:rPr>
                <w:color w:val="000000"/>
                <w:sz w:val="24"/>
                <w:szCs w:val="24"/>
                <w:u w:val="single"/>
              </w:rPr>
            </w:pPr>
            <w:r>
              <w:rPr>
                <w:b/>
                <w:color w:val="000000"/>
              </w:rPr>
              <w:t>DO VALOR</w:t>
            </w:r>
          </w:p>
          <w:p w:rsidR="004910CB" w:rsidRDefault="00E50E83">
            <w:pPr>
              <w:numPr>
                <w:ilvl w:val="1"/>
                <w:numId w:val="1"/>
              </w:numPr>
              <w:pBdr>
                <w:top w:val="nil"/>
                <w:left w:val="nil"/>
                <w:bottom w:val="nil"/>
                <w:right w:val="nil"/>
                <w:between w:val="nil"/>
              </w:pBdr>
              <w:spacing w:after="160" w:line="259" w:lineRule="auto"/>
              <w:rPr>
                <w:color w:val="000000"/>
                <w:sz w:val="24"/>
                <w:szCs w:val="24"/>
                <w:u w:val="single"/>
              </w:rPr>
            </w:pPr>
            <w:r>
              <w:rPr>
                <w:color w:val="000000"/>
              </w:rPr>
              <w:t>Quadro financeiro:</w:t>
            </w:r>
          </w:p>
          <w:tbl>
            <w:tblPr>
              <w:tblStyle w:val="a2"/>
              <w:tblW w:w="86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70"/>
              <w:gridCol w:w="2870"/>
            </w:tblGrid>
            <w:tr w:rsidR="004910CB">
              <w:trPr>
                <w:jc w:val="center"/>
              </w:trPr>
              <w:tc>
                <w:tcPr>
                  <w:tcW w:w="2870" w:type="dxa"/>
                  <w:vAlign w:val="center"/>
                </w:tcPr>
                <w:p w:rsidR="004910CB" w:rsidRDefault="00E50E83">
                  <w:pPr>
                    <w:pBdr>
                      <w:top w:val="nil"/>
                      <w:left w:val="nil"/>
                      <w:bottom w:val="nil"/>
                      <w:right w:val="nil"/>
                      <w:between w:val="nil"/>
                    </w:pBdr>
                    <w:ind w:left="60" w:right="60"/>
                    <w:jc w:val="center"/>
                    <w:rPr>
                      <w:color w:val="000000"/>
                    </w:rPr>
                  </w:pPr>
                  <w:r>
                    <w:rPr>
                      <w:b/>
                      <w:color w:val="000000"/>
                    </w:rPr>
                    <w:t>Item</w:t>
                  </w:r>
                </w:p>
              </w:tc>
              <w:tc>
                <w:tcPr>
                  <w:tcW w:w="2870" w:type="dxa"/>
                  <w:vAlign w:val="center"/>
                </w:tcPr>
                <w:p w:rsidR="004910CB" w:rsidRDefault="00E50E83">
                  <w:pPr>
                    <w:pBdr>
                      <w:top w:val="nil"/>
                      <w:left w:val="nil"/>
                      <w:bottom w:val="nil"/>
                      <w:right w:val="nil"/>
                      <w:between w:val="nil"/>
                    </w:pBdr>
                    <w:ind w:left="60" w:right="60"/>
                    <w:jc w:val="center"/>
                    <w:rPr>
                      <w:color w:val="000000"/>
                    </w:rPr>
                  </w:pPr>
                  <w:r>
                    <w:rPr>
                      <w:b/>
                      <w:color w:val="000000"/>
                    </w:rPr>
                    <w:t>Valor individual</w:t>
                  </w:r>
                </w:p>
              </w:tc>
              <w:tc>
                <w:tcPr>
                  <w:tcW w:w="2870" w:type="dxa"/>
                  <w:vAlign w:val="center"/>
                </w:tcPr>
                <w:p w:rsidR="004910CB" w:rsidRDefault="00E50E83">
                  <w:pPr>
                    <w:pBdr>
                      <w:top w:val="nil"/>
                      <w:left w:val="nil"/>
                      <w:bottom w:val="nil"/>
                      <w:right w:val="nil"/>
                      <w:between w:val="nil"/>
                    </w:pBdr>
                    <w:ind w:left="60" w:right="60"/>
                    <w:jc w:val="center"/>
                    <w:rPr>
                      <w:color w:val="000000"/>
                    </w:rPr>
                  </w:pPr>
                  <w:r>
                    <w:rPr>
                      <w:b/>
                      <w:color w:val="000000"/>
                    </w:rPr>
                    <w:t>Total Geral do aporte</w:t>
                  </w:r>
                </w:p>
              </w:tc>
            </w:tr>
            <w:tr w:rsidR="004910CB">
              <w:trPr>
                <w:jc w:val="center"/>
              </w:trPr>
              <w:tc>
                <w:tcPr>
                  <w:tcW w:w="2870" w:type="dxa"/>
                  <w:vAlign w:val="center"/>
                </w:tcPr>
                <w:p w:rsidR="004910CB" w:rsidRDefault="00E50E83">
                  <w:pPr>
                    <w:pBdr>
                      <w:top w:val="nil"/>
                      <w:left w:val="nil"/>
                      <w:bottom w:val="nil"/>
                      <w:right w:val="nil"/>
                      <w:between w:val="nil"/>
                    </w:pBdr>
                    <w:ind w:left="60" w:right="60"/>
                    <w:jc w:val="center"/>
                    <w:rPr>
                      <w:color w:val="000000"/>
                    </w:rPr>
                  </w:pPr>
                  <w:r>
                    <w:rPr>
                      <w:color w:val="000000"/>
                    </w:rPr>
                    <w:t>01</w:t>
                  </w:r>
                </w:p>
              </w:tc>
              <w:tc>
                <w:tcPr>
                  <w:tcW w:w="2870" w:type="dxa"/>
                  <w:vAlign w:val="center"/>
                </w:tcPr>
                <w:p w:rsidR="004910CB" w:rsidRDefault="009E5B14" w:rsidP="009E5B14">
                  <w:pPr>
                    <w:pBdr>
                      <w:top w:val="nil"/>
                      <w:left w:val="nil"/>
                      <w:bottom w:val="nil"/>
                      <w:right w:val="nil"/>
                      <w:between w:val="nil"/>
                    </w:pBdr>
                    <w:spacing w:before="120" w:after="120"/>
                    <w:ind w:left="120" w:right="120"/>
                    <w:rPr>
                      <w:color w:val="000000"/>
                    </w:rPr>
                  </w:pPr>
                  <w:r>
                    <w:rPr>
                      <w:b/>
                      <w:color w:val="000000"/>
                    </w:rPr>
                    <w:t xml:space="preserve">R$ 4.000,00 (quatro mil </w:t>
                  </w:r>
                  <w:r w:rsidR="00E50E83">
                    <w:rPr>
                      <w:b/>
                      <w:color w:val="000000"/>
                    </w:rPr>
                    <w:t>reais) </w:t>
                  </w:r>
                </w:p>
              </w:tc>
              <w:tc>
                <w:tcPr>
                  <w:tcW w:w="2870" w:type="dxa"/>
                  <w:vAlign w:val="center"/>
                </w:tcPr>
                <w:p w:rsidR="004910CB" w:rsidRDefault="00E50E83" w:rsidP="009E5B14">
                  <w:pPr>
                    <w:pBdr>
                      <w:top w:val="nil"/>
                      <w:left w:val="nil"/>
                      <w:bottom w:val="nil"/>
                      <w:right w:val="nil"/>
                      <w:between w:val="nil"/>
                    </w:pBdr>
                    <w:spacing w:before="120" w:after="120"/>
                    <w:ind w:left="120" w:right="120"/>
                    <w:rPr>
                      <w:color w:val="000000"/>
                    </w:rPr>
                  </w:pPr>
                  <w:r>
                    <w:rPr>
                      <w:color w:val="000000"/>
                    </w:rPr>
                    <w:t> </w:t>
                  </w:r>
                  <w:r>
                    <w:rPr>
                      <w:b/>
                      <w:color w:val="000000"/>
                    </w:rPr>
                    <w:t>R$</w:t>
                  </w:r>
                  <w:r w:rsidR="009E5B14">
                    <w:rPr>
                      <w:b/>
                      <w:color w:val="000000"/>
                    </w:rPr>
                    <w:t xml:space="preserve"> 400</w:t>
                  </w:r>
                  <w:r>
                    <w:rPr>
                      <w:b/>
                      <w:color w:val="000000"/>
                    </w:rPr>
                    <w:t>.000,00 (</w:t>
                  </w:r>
                  <w:r w:rsidR="009E5B14">
                    <w:rPr>
                      <w:b/>
                      <w:color w:val="000000"/>
                    </w:rPr>
                    <w:t xml:space="preserve">quatrocentos mil </w:t>
                  </w:r>
                  <w:r>
                    <w:rPr>
                      <w:b/>
                      <w:color w:val="000000"/>
                    </w:rPr>
                    <w:t>reais) ​</w:t>
                  </w:r>
                  <w:r>
                    <w:rPr>
                      <w:color w:val="000000"/>
                    </w:rPr>
                    <w:t> </w:t>
                  </w:r>
                </w:p>
              </w:tc>
            </w:tr>
          </w:tbl>
          <w:p w:rsidR="004910CB" w:rsidRDefault="004910CB">
            <w:pPr>
              <w:pBdr>
                <w:top w:val="nil"/>
                <w:left w:val="nil"/>
                <w:bottom w:val="nil"/>
                <w:right w:val="nil"/>
                <w:between w:val="nil"/>
              </w:pBdr>
              <w:spacing w:line="259" w:lineRule="auto"/>
              <w:ind w:left="792"/>
              <w:rPr>
                <w:color w:val="000000"/>
                <w:sz w:val="24"/>
                <w:szCs w:val="24"/>
                <w:u w:val="single"/>
              </w:rPr>
            </w:pPr>
          </w:p>
          <w:p w:rsidR="004910CB" w:rsidRDefault="00E50E83">
            <w:pPr>
              <w:numPr>
                <w:ilvl w:val="1"/>
                <w:numId w:val="1"/>
              </w:numPr>
              <w:pBdr>
                <w:top w:val="nil"/>
                <w:left w:val="nil"/>
                <w:bottom w:val="nil"/>
                <w:right w:val="nil"/>
                <w:between w:val="nil"/>
              </w:pBdr>
              <w:spacing w:line="259" w:lineRule="auto"/>
              <w:ind w:right="120"/>
              <w:jc w:val="both"/>
              <w:rPr>
                <w:color w:val="000000"/>
              </w:rPr>
            </w:pPr>
            <w:r>
              <w:rPr>
                <w:color w:val="000000"/>
              </w:rPr>
              <w:lastRenderedPageBreak/>
              <w:t>A quantidade de curadores a serem convocados para a avaliação de propostas/projetos culturais, será definida nos editais a serem publicados e estabelecida conforme necessidades da SEJUCEL.</w:t>
            </w:r>
          </w:p>
          <w:p w:rsidR="004910CB" w:rsidRDefault="00E50E83">
            <w:pPr>
              <w:numPr>
                <w:ilvl w:val="1"/>
                <w:numId w:val="1"/>
              </w:numPr>
              <w:pBdr>
                <w:top w:val="nil"/>
                <w:left w:val="nil"/>
                <w:bottom w:val="nil"/>
                <w:right w:val="nil"/>
                <w:between w:val="nil"/>
              </w:pBdr>
              <w:spacing w:line="259" w:lineRule="auto"/>
              <w:ind w:right="120"/>
              <w:jc w:val="both"/>
              <w:rPr>
                <w:color w:val="000000"/>
              </w:rPr>
            </w:pPr>
            <w:r>
              <w:rPr>
                <w:color w:val="000000"/>
              </w:rPr>
              <w:t>Sobre o valor bruto incidirão o pagamento de impostos (IR, ISS e IN</w:t>
            </w:r>
            <w:r>
              <w:rPr>
                <w:color w:val="000000"/>
              </w:rPr>
              <w:t>SS), os quais serão retidos na fonte, o qual será por conta do contratado.</w:t>
            </w:r>
          </w:p>
          <w:p w:rsidR="004910CB" w:rsidRDefault="00E50E83">
            <w:pPr>
              <w:numPr>
                <w:ilvl w:val="1"/>
                <w:numId w:val="1"/>
              </w:numPr>
              <w:pBdr>
                <w:top w:val="nil"/>
                <w:left w:val="nil"/>
                <w:bottom w:val="nil"/>
                <w:right w:val="nil"/>
                <w:between w:val="nil"/>
              </w:pBdr>
              <w:spacing w:after="120" w:line="259" w:lineRule="auto"/>
              <w:ind w:right="120"/>
              <w:jc w:val="both"/>
              <w:rPr>
                <w:color w:val="000000"/>
              </w:rPr>
            </w:pPr>
            <w:r>
              <w:rPr>
                <w:color w:val="000000"/>
              </w:rPr>
              <w:t>A quantidade de curadores a serem convocados para a prestação do serviço, será definida em cada edital, e estabelecida conforme necessidades da administração.</w:t>
            </w:r>
          </w:p>
          <w:p w:rsidR="004910CB" w:rsidRDefault="00E50E83">
            <w:pPr>
              <w:spacing w:before="120" w:after="120"/>
              <w:ind w:left="120" w:right="120"/>
              <w:jc w:val="both"/>
              <w:rPr>
                <w:color w:val="000000"/>
              </w:rPr>
            </w:pPr>
            <w:r>
              <w:rPr>
                <w:b/>
                <w:color w:val="000000"/>
              </w:rPr>
              <w:t>PARÁGRAFO ÚNICO: </w:t>
            </w:r>
            <w:r>
              <w:rPr>
                <w:color w:val="000000"/>
              </w:rPr>
              <w:t>Haven</w:t>
            </w:r>
            <w:r>
              <w:rPr>
                <w:color w:val="000000"/>
              </w:rPr>
              <w:t>do necessidade de mais trabalhadores, serão convocados dentro deste edital os suplentes devidamente classificados, mediante</w:t>
            </w:r>
            <w:r>
              <w:rPr>
                <w:i/>
                <w:color w:val="000000"/>
              </w:rPr>
              <w:t> Informação</w:t>
            </w:r>
            <w:r>
              <w:rPr>
                <w:color w:val="000000"/>
              </w:rPr>
              <w:t> publicada em DIOF, atendendo as exigências previstas neste edital.</w:t>
            </w:r>
          </w:p>
          <w:p w:rsidR="004910CB" w:rsidRDefault="004910CB">
            <w:pPr>
              <w:pBdr>
                <w:top w:val="nil"/>
                <w:left w:val="nil"/>
                <w:bottom w:val="nil"/>
                <w:right w:val="nil"/>
                <w:between w:val="nil"/>
              </w:pBdr>
              <w:spacing w:line="259" w:lineRule="auto"/>
              <w:ind w:left="792"/>
              <w:rPr>
                <w:color w:val="000000"/>
                <w:sz w:val="24"/>
                <w:szCs w:val="24"/>
                <w:u w:val="single"/>
              </w:rPr>
            </w:pPr>
          </w:p>
          <w:p w:rsidR="004910CB" w:rsidRDefault="00E50E83">
            <w:pPr>
              <w:numPr>
                <w:ilvl w:val="0"/>
                <w:numId w:val="1"/>
              </w:numPr>
              <w:pBdr>
                <w:top w:val="nil"/>
                <w:left w:val="nil"/>
                <w:bottom w:val="nil"/>
                <w:right w:val="nil"/>
                <w:between w:val="nil"/>
              </w:pBdr>
              <w:spacing w:line="259" w:lineRule="auto"/>
              <w:rPr>
                <w:color w:val="000000"/>
                <w:sz w:val="24"/>
                <w:szCs w:val="24"/>
                <w:u w:val="single"/>
              </w:rPr>
            </w:pPr>
            <w:r>
              <w:rPr>
                <w:b/>
                <w:color w:val="000000"/>
              </w:rPr>
              <w:t>DAS OBRIGAÇÕES DOS PARTÍCPES</w:t>
            </w:r>
          </w:p>
          <w:p w:rsidR="004910CB" w:rsidRDefault="00E50E83">
            <w:pPr>
              <w:pBdr>
                <w:top w:val="nil"/>
                <w:left w:val="nil"/>
                <w:bottom w:val="nil"/>
                <w:right w:val="nil"/>
                <w:between w:val="nil"/>
              </w:pBdr>
              <w:spacing w:line="259" w:lineRule="auto"/>
              <w:ind w:left="360"/>
              <w:rPr>
                <w:color w:val="000000"/>
              </w:rPr>
            </w:pPr>
            <w:r>
              <w:rPr>
                <w:color w:val="000000"/>
              </w:rPr>
              <w:t>As partes signatárias deste Termo comprometem-se, em razão ao seu objeto, ao seguir:</w:t>
            </w:r>
          </w:p>
          <w:p w:rsidR="004910CB" w:rsidRDefault="00E50E83">
            <w:pPr>
              <w:numPr>
                <w:ilvl w:val="1"/>
                <w:numId w:val="1"/>
              </w:numPr>
              <w:pBdr>
                <w:top w:val="nil"/>
                <w:left w:val="nil"/>
                <w:bottom w:val="nil"/>
                <w:right w:val="nil"/>
                <w:between w:val="nil"/>
              </w:pBdr>
              <w:spacing w:after="160" w:line="259" w:lineRule="auto"/>
              <w:rPr>
                <w:color w:val="000000"/>
                <w:sz w:val="24"/>
                <w:szCs w:val="24"/>
                <w:u w:val="single"/>
              </w:rPr>
            </w:pPr>
            <w:r>
              <w:rPr>
                <w:b/>
                <w:color w:val="000000"/>
              </w:rPr>
              <w:t>É obrigação do CURADOR:</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Analisar o conteúdo dos projetos inscritos nos editais de cultura, dentro da área cultural de competência, de acordo com os critérios de seleção dos referidos editais;</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Atribuir pontuação aos projetos, considerando pontuação e pesos previstos nos editais;</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E</w:t>
            </w:r>
            <w:r>
              <w:rPr>
                <w:color w:val="000000"/>
              </w:rPr>
              <w:t>mitir parecer e registro de avaliação dos projetos analisado, conforme critérios previstos nos editais;</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 xml:space="preserve">Comparecer às reuniões presenciais ou via meio eletrônico (internet) nas datas </w:t>
            </w:r>
            <w:proofErr w:type="spellStart"/>
            <w:r>
              <w:rPr>
                <w:color w:val="000000"/>
              </w:rPr>
              <w:t>deﬁnidas</w:t>
            </w:r>
            <w:proofErr w:type="spellEnd"/>
            <w:r>
              <w:rPr>
                <w:color w:val="000000"/>
              </w:rPr>
              <w:t xml:space="preserve"> ou sempre que convocado, destinadas à orientação, conclusão da a</w:t>
            </w:r>
            <w:r>
              <w:rPr>
                <w:color w:val="000000"/>
              </w:rPr>
              <w:t>nálise das propostas e/ou decisão;</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Participar das reuniões de planejamento de metodologia das comissões de curadorias que será aplicada a cada edital, para estabelecer a ordem de classificados, conforme avaliação de toda a comissão;</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Assinar formulários, pa</w:t>
            </w:r>
            <w:r>
              <w:rPr>
                <w:color w:val="000000"/>
              </w:rPr>
              <w:t>receres, atas e outros documentos de registro da seleção, sempre que necessário;</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Analisar, emitir parecer, decidir e assinar atas de julgamento, sobre eventuais recursos à decisão da Comissão de Seleção e Avaliação, de acordo com os editais;</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 xml:space="preserve">Executar suas </w:t>
            </w:r>
            <w:r>
              <w:rPr>
                <w:color w:val="000000"/>
              </w:rPr>
              <w:t>atribuições no prazo previsto no Termo de compromisso, a contar do recebimento dos projetos inscritos;</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 xml:space="preserve">Compete aos curadores </w:t>
            </w:r>
            <w:proofErr w:type="spellStart"/>
            <w:r>
              <w:rPr>
                <w:color w:val="000000"/>
              </w:rPr>
              <w:t>classiﬁcados</w:t>
            </w:r>
            <w:proofErr w:type="spellEnd"/>
            <w:r>
              <w:rPr>
                <w:color w:val="000000"/>
              </w:rPr>
              <w:t>, a realização do processo de análise e seleção das propostas inscritas nos editais abertos pela SEJUCEL;</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Apresentar di</w:t>
            </w:r>
            <w:r>
              <w:rPr>
                <w:color w:val="000000"/>
              </w:rPr>
              <w:t>sponibilidade para os trabalhos </w:t>
            </w:r>
            <w:r>
              <w:rPr>
                <w:i/>
                <w:color w:val="000000"/>
              </w:rPr>
              <w:t xml:space="preserve">home </w:t>
            </w:r>
            <w:proofErr w:type="spellStart"/>
            <w:r>
              <w:rPr>
                <w:i/>
                <w:color w:val="000000"/>
              </w:rPr>
              <w:t>oﬃce</w:t>
            </w:r>
            <w:proofErr w:type="spellEnd"/>
            <w:r>
              <w:rPr>
                <w:i/>
                <w:color w:val="000000"/>
              </w:rPr>
              <w:t> </w:t>
            </w:r>
            <w:r>
              <w:rPr>
                <w:color w:val="000000"/>
              </w:rPr>
              <w:t>(Decreto 24.979 de 26 de abril de 2020), para a análise e julgamento e seleção das propostas inscritas nos editais lançados pela SEJUCEL;</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 xml:space="preserve">Entregar para a Comissão de Avaliação e Seleção e para a comissão de Habilitação do Edital, ata de resultado da curadoria contendo a relação das propostas selecionadas e suplentes em ordem de </w:t>
            </w:r>
            <w:proofErr w:type="spellStart"/>
            <w:r>
              <w:rPr>
                <w:color w:val="000000"/>
              </w:rPr>
              <w:t>classiﬁcação</w:t>
            </w:r>
            <w:proofErr w:type="spellEnd"/>
            <w:r>
              <w:rPr>
                <w:color w:val="000000"/>
              </w:rPr>
              <w:t xml:space="preserve"> por meio do Google Drive (planilha) assim como ata </w:t>
            </w:r>
            <w:r>
              <w:rPr>
                <w:color w:val="000000"/>
              </w:rPr>
              <w:t xml:space="preserve">com resultado </w:t>
            </w:r>
            <w:proofErr w:type="spellStart"/>
            <w:r>
              <w:rPr>
                <w:color w:val="000000"/>
              </w:rPr>
              <w:t>ﬁnal</w:t>
            </w:r>
            <w:proofErr w:type="spellEnd"/>
            <w:r>
              <w:rPr>
                <w:color w:val="000000"/>
              </w:rPr>
              <w:t>;</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lastRenderedPageBreak/>
              <w:t>Será de responsabilidade do curador o fornecimento de equipamentos </w:t>
            </w:r>
            <w:proofErr w:type="gramStart"/>
            <w:r>
              <w:rPr>
                <w:color w:val="000000"/>
              </w:rPr>
              <w:t>   (</w:t>
            </w:r>
            <w:proofErr w:type="gramEnd"/>
            <w:r>
              <w:rPr>
                <w:color w:val="000000"/>
              </w:rPr>
              <w:t xml:space="preserve"> computador e internet) e operação para análise e divulgação do resultado via transmissão do sinal via Internet;</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O curador deverá executar as atividades no tempo pre</w:t>
            </w:r>
            <w:r>
              <w:rPr>
                <w:color w:val="000000"/>
              </w:rPr>
              <w:t>visto de</w:t>
            </w:r>
            <w:r>
              <w:rPr>
                <w:color w:val="000000"/>
                <w:u w:val="single"/>
              </w:rPr>
              <w:t> </w:t>
            </w:r>
            <w:r>
              <w:rPr>
                <w:b/>
                <w:color w:val="000000"/>
                <w:u w:val="single"/>
              </w:rPr>
              <w:t>10 (dez) dias corridos</w:t>
            </w:r>
            <w:r>
              <w:rPr>
                <w:color w:val="000000"/>
              </w:rPr>
              <w:t>.</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O curador deverá encaminhar </w:t>
            </w:r>
            <w:proofErr w:type="gramStart"/>
            <w:r>
              <w:rPr>
                <w:color w:val="000000"/>
              </w:rPr>
              <w:t>a  SEJUCEL</w:t>
            </w:r>
            <w:proofErr w:type="gramEnd"/>
            <w:r>
              <w:rPr>
                <w:color w:val="000000"/>
              </w:rPr>
              <w:t xml:space="preserve">,   o relatório de prestação de serviço juntamente com a nota </w:t>
            </w:r>
            <w:proofErr w:type="spellStart"/>
            <w:r>
              <w:rPr>
                <w:color w:val="000000"/>
              </w:rPr>
              <w:t>ﬁscal</w:t>
            </w:r>
            <w:proofErr w:type="spellEnd"/>
            <w:r>
              <w:rPr>
                <w:color w:val="000000"/>
              </w:rPr>
              <w:t>, através do Sistema de Apresentação de Propostas Culturais - SAP </w:t>
            </w:r>
            <w:hyperlink r:id="rId7">
              <w:r>
                <w:rPr>
                  <w:color w:val="0000FF"/>
                  <w:u w:val="single"/>
                </w:rPr>
                <w:t>http://sapcultural.sistemas.ro.gov.br/EditalDeCategoria/EditaisAbertos</w:t>
              </w:r>
            </w:hyperlink>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Toda comunicação dos curadores com a SEJUCEL será por via e-mail;</w:t>
            </w:r>
          </w:p>
          <w:p w:rsidR="004910CB" w:rsidRDefault="00E50E83">
            <w:pPr>
              <w:numPr>
                <w:ilvl w:val="0"/>
                <w:numId w:val="2"/>
              </w:numPr>
              <w:pBdr>
                <w:top w:val="nil"/>
                <w:left w:val="nil"/>
                <w:bottom w:val="nil"/>
                <w:right w:val="nil"/>
                <w:between w:val="nil"/>
              </w:pBdr>
              <w:spacing w:before="120" w:after="120"/>
              <w:ind w:right="120"/>
              <w:jc w:val="both"/>
              <w:rPr>
                <w:color w:val="000000"/>
              </w:rPr>
            </w:pPr>
            <w:r>
              <w:rPr>
                <w:color w:val="000000"/>
              </w:rPr>
              <w:t>A Nota Fiscal nota avulsa, deve</w:t>
            </w:r>
            <w:r>
              <w:rPr>
                <w:color w:val="000000"/>
              </w:rPr>
              <w:t>rá ser emitida no município onde o contratado residir.</w:t>
            </w:r>
          </w:p>
          <w:p w:rsidR="004910CB" w:rsidRDefault="00E50E83">
            <w:pPr>
              <w:numPr>
                <w:ilvl w:val="2"/>
                <w:numId w:val="1"/>
              </w:numPr>
              <w:pBdr>
                <w:top w:val="nil"/>
                <w:left w:val="nil"/>
                <w:bottom w:val="nil"/>
                <w:right w:val="nil"/>
                <w:between w:val="nil"/>
              </w:pBdr>
              <w:spacing w:after="160" w:line="259" w:lineRule="auto"/>
              <w:rPr>
                <w:color w:val="000000"/>
                <w:sz w:val="24"/>
                <w:szCs w:val="24"/>
                <w:u w:val="single"/>
              </w:rPr>
            </w:pPr>
            <w:r>
              <w:rPr>
                <w:color w:val="000000"/>
              </w:rPr>
              <w:t>Na Nota Fiscal deverá obrigatoriamente conter as seguintes informações:</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O nome da Superintendência da Juventude, Cultura, Esporte e Lazer - SEJUCEL;</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O CNPJ da Superintendência da Juventude, Cultura, Esporte e Lazer - SEJUCEL;</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Data do documento;</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O valor do serviço, conforme descrito no Termo de Compromisso;</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O nome e CPF do curador, conforme descrito no Termo de Compromisso;</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O nome deste edital;</w:t>
            </w:r>
          </w:p>
          <w:p w:rsidR="004910CB" w:rsidRDefault="00E50E83">
            <w:pPr>
              <w:numPr>
                <w:ilvl w:val="0"/>
                <w:numId w:val="3"/>
              </w:numPr>
              <w:pBdr>
                <w:top w:val="nil"/>
                <w:left w:val="nil"/>
                <w:bottom w:val="nil"/>
                <w:right w:val="nil"/>
                <w:between w:val="nil"/>
              </w:pBdr>
              <w:spacing w:before="120" w:after="120"/>
              <w:ind w:right="120"/>
              <w:jc w:val="both"/>
              <w:rPr>
                <w:color w:val="000000"/>
              </w:rPr>
            </w:pPr>
            <w:r>
              <w:rPr>
                <w:color w:val="000000"/>
              </w:rPr>
              <w:t>A descrição do serviço prestado, conforme descrito no Termo de Compromisso;</w:t>
            </w:r>
          </w:p>
          <w:p w:rsidR="004910CB" w:rsidRDefault="00E50E83">
            <w:pPr>
              <w:numPr>
                <w:ilvl w:val="2"/>
                <w:numId w:val="1"/>
              </w:numPr>
              <w:pBdr>
                <w:top w:val="nil"/>
                <w:left w:val="nil"/>
                <w:bottom w:val="nil"/>
                <w:right w:val="nil"/>
                <w:between w:val="nil"/>
              </w:pBdr>
              <w:spacing w:line="259" w:lineRule="auto"/>
              <w:rPr>
                <w:color w:val="000000"/>
                <w:sz w:val="24"/>
                <w:szCs w:val="24"/>
                <w:u w:val="single"/>
              </w:rPr>
            </w:pPr>
            <w:bookmarkStart w:id="0" w:name="_gjdgxs" w:colFirst="0" w:colLast="0"/>
            <w:bookmarkEnd w:id="0"/>
            <w:r>
              <w:rPr>
                <w:color w:val="000000"/>
              </w:rPr>
              <w:t xml:space="preserve">Os curadores escolhidos por este Edital, cercar-se-á de todos os mecanismos necessários para que haja uma fiscalização exitosa e controle total no que tange a exploração do objeto </w:t>
            </w:r>
            <w:r>
              <w:rPr>
                <w:color w:val="000000"/>
              </w:rPr>
              <w:t>do TERMO DE COMPROMISSO.</w:t>
            </w:r>
          </w:p>
          <w:p w:rsidR="004910CB" w:rsidRDefault="00E50E83">
            <w:pPr>
              <w:numPr>
                <w:ilvl w:val="1"/>
                <w:numId w:val="1"/>
              </w:numPr>
              <w:pBdr>
                <w:top w:val="nil"/>
                <w:left w:val="nil"/>
                <w:bottom w:val="nil"/>
                <w:right w:val="nil"/>
                <w:between w:val="nil"/>
              </w:pBdr>
              <w:spacing w:after="160" w:line="259" w:lineRule="auto"/>
              <w:rPr>
                <w:color w:val="000000"/>
                <w:sz w:val="24"/>
                <w:szCs w:val="24"/>
                <w:u w:val="single"/>
              </w:rPr>
            </w:pPr>
            <w:r>
              <w:rPr>
                <w:b/>
                <w:color w:val="000000"/>
              </w:rPr>
              <w:t>É obrigação da Superintendência da Juventude, Cultura, Esporte e Lazer -​ SEJUCEL:</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Conceder o pagamento proveniente deste edital de credenciamento nas condições estabelecidas;</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Fiscalizar, se a execução do serviço que foi contratado está de acordo com o Termo de Compromisso;</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 xml:space="preserve">Encaminhar </w:t>
            </w:r>
            <w:r w:rsidR="009E5B14">
              <w:rPr>
                <w:color w:val="000000"/>
              </w:rPr>
              <w:t>as propostas</w:t>
            </w:r>
            <w:r>
              <w:rPr>
                <w:color w:val="000000"/>
              </w:rPr>
              <w:t xml:space="preserve"> inscritas nos editais para cada curador através da comissão de habilitação;</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Indicar os membros da Comissão de Avaliação e Seleção e da</w:t>
            </w:r>
            <w:r>
              <w:rPr>
                <w:color w:val="000000"/>
              </w:rPr>
              <w:t xml:space="preserve"> comissão de habilitação através de portaria e publicar no Diário Oficial de RO;</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Indicar o gestor e a equipe de fiscalização onde passaram a ser responsável em acompanhar, monitorar e avaliar a execução do serviço contratado;</w:t>
            </w:r>
          </w:p>
          <w:p w:rsidR="004910CB" w:rsidRDefault="00E50E83">
            <w:pPr>
              <w:numPr>
                <w:ilvl w:val="0"/>
                <w:numId w:val="4"/>
              </w:numPr>
              <w:pBdr>
                <w:top w:val="nil"/>
                <w:left w:val="nil"/>
                <w:bottom w:val="nil"/>
                <w:right w:val="nil"/>
                <w:between w:val="nil"/>
              </w:pBdr>
              <w:spacing w:before="120" w:after="120"/>
              <w:ind w:right="120"/>
              <w:jc w:val="both"/>
              <w:rPr>
                <w:color w:val="000000"/>
              </w:rPr>
            </w:pPr>
            <w:r>
              <w:rPr>
                <w:color w:val="000000"/>
              </w:rPr>
              <w:t>Publicar resultado final e hom</w:t>
            </w:r>
            <w:r>
              <w:rPr>
                <w:color w:val="000000"/>
              </w:rPr>
              <w:t>ologação do certame.</w:t>
            </w:r>
          </w:p>
          <w:p w:rsidR="004910CB" w:rsidRDefault="004910CB">
            <w:pPr>
              <w:pBdr>
                <w:top w:val="nil"/>
                <w:left w:val="nil"/>
                <w:bottom w:val="nil"/>
                <w:right w:val="nil"/>
                <w:between w:val="nil"/>
              </w:pBdr>
              <w:spacing w:line="259" w:lineRule="auto"/>
              <w:ind w:left="792"/>
              <w:rPr>
                <w:color w:val="000000"/>
                <w:sz w:val="24"/>
                <w:szCs w:val="24"/>
                <w:u w:val="single"/>
              </w:rPr>
            </w:pPr>
          </w:p>
          <w:p w:rsidR="004910CB" w:rsidRDefault="00E50E83">
            <w:pPr>
              <w:numPr>
                <w:ilvl w:val="0"/>
                <w:numId w:val="1"/>
              </w:numPr>
              <w:pBdr>
                <w:top w:val="nil"/>
                <w:left w:val="nil"/>
                <w:bottom w:val="nil"/>
                <w:right w:val="nil"/>
                <w:between w:val="nil"/>
              </w:pBdr>
              <w:spacing w:after="160" w:line="259" w:lineRule="auto"/>
              <w:rPr>
                <w:color w:val="000000"/>
                <w:sz w:val="24"/>
                <w:szCs w:val="24"/>
                <w:u w:val="single"/>
              </w:rPr>
            </w:pPr>
            <w:r>
              <w:rPr>
                <w:b/>
                <w:color w:val="000000"/>
              </w:rPr>
              <w:t>DA VIGÊNCIA:</w:t>
            </w:r>
          </w:p>
          <w:p w:rsidR="004910CB" w:rsidRDefault="00E50E83">
            <w:pPr>
              <w:pBdr>
                <w:top w:val="nil"/>
                <w:left w:val="nil"/>
                <w:bottom w:val="nil"/>
                <w:right w:val="nil"/>
                <w:between w:val="nil"/>
              </w:pBdr>
              <w:spacing w:before="120" w:after="120"/>
              <w:ind w:left="360" w:right="120"/>
              <w:rPr>
                <w:color w:val="000000"/>
              </w:rPr>
            </w:pPr>
            <w:r>
              <w:rPr>
                <w:color w:val="000000"/>
              </w:rPr>
              <w:t xml:space="preserve">Este edital de credenciamento entrará em vigor na data de sua publicação, por meio do Diário Oficial do Estado de Rondônia, no site do Governo do Estado de Rondônia, página eletrônica da SEJUCEL, dentre outros meios de comunicação desta Superintendência e </w:t>
            </w:r>
            <w:r>
              <w:rPr>
                <w:color w:val="000000"/>
              </w:rPr>
              <w:t>terá validade de 01 (</w:t>
            </w:r>
            <w:bookmarkStart w:id="1" w:name="_GoBack"/>
            <w:bookmarkEnd w:id="1"/>
            <w:r w:rsidR="009E5B14">
              <w:rPr>
                <w:color w:val="000000"/>
              </w:rPr>
              <w:t>um) ano</w:t>
            </w:r>
            <w:r>
              <w:rPr>
                <w:color w:val="000000"/>
              </w:rPr>
              <w:t>.</w:t>
            </w:r>
          </w:p>
          <w:p w:rsidR="004910CB" w:rsidRDefault="00E50E83">
            <w:pPr>
              <w:pBdr>
                <w:top w:val="nil"/>
                <w:left w:val="nil"/>
                <w:bottom w:val="nil"/>
                <w:right w:val="nil"/>
                <w:between w:val="nil"/>
              </w:pBdr>
              <w:spacing w:before="120" w:after="120"/>
              <w:ind w:left="360" w:right="120"/>
              <w:rPr>
                <w:color w:val="000000"/>
              </w:rPr>
            </w:pPr>
            <w:r>
              <w:rPr>
                <w:color w:val="000000"/>
              </w:rPr>
              <w:t>O edital poderá ser prorrogado uma única vez por igual período em ato devidamente motivado.</w:t>
            </w:r>
          </w:p>
          <w:p w:rsidR="004910CB" w:rsidRDefault="00E50E83">
            <w:pPr>
              <w:pBdr>
                <w:top w:val="nil"/>
                <w:left w:val="nil"/>
                <w:bottom w:val="nil"/>
                <w:right w:val="nil"/>
                <w:between w:val="nil"/>
              </w:pBdr>
              <w:spacing w:before="120" w:after="120"/>
              <w:ind w:left="360" w:right="120"/>
              <w:rPr>
                <w:color w:val="000000"/>
              </w:rPr>
            </w:pPr>
            <w:r>
              <w:rPr>
                <w:color w:val="000000"/>
              </w:rPr>
              <w:lastRenderedPageBreak/>
              <w:t>Dentro do prazo de vigência, a SEJUCEL poderá firmar o Termo de compromisso com os curadores credenciados, observando as regras relativ</w:t>
            </w:r>
            <w:r>
              <w:rPr>
                <w:color w:val="000000"/>
              </w:rPr>
              <w:t>as à ordem desclassificação.</w:t>
            </w:r>
          </w:p>
          <w:p w:rsidR="004910CB" w:rsidRDefault="00E50E83">
            <w:pPr>
              <w:pBdr>
                <w:top w:val="nil"/>
                <w:left w:val="nil"/>
                <w:bottom w:val="nil"/>
                <w:right w:val="nil"/>
                <w:between w:val="nil"/>
              </w:pBdr>
              <w:spacing w:before="120" w:after="120"/>
              <w:ind w:left="360" w:right="120"/>
              <w:rPr>
                <w:color w:val="000000"/>
              </w:rPr>
            </w:pPr>
            <w:r>
              <w:rPr>
                <w:color w:val="000000"/>
              </w:rPr>
              <w:t>A vigência do Contrato dos curadores, será de 90 (noventa) dias a contar da assinatura do Termo de compromisso.</w:t>
            </w:r>
          </w:p>
          <w:p w:rsidR="004910CB" w:rsidRDefault="004910CB">
            <w:pPr>
              <w:pBdr>
                <w:top w:val="nil"/>
                <w:left w:val="nil"/>
                <w:bottom w:val="nil"/>
                <w:right w:val="nil"/>
                <w:between w:val="nil"/>
              </w:pBdr>
              <w:spacing w:before="120" w:after="120"/>
              <w:ind w:left="120" w:right="120"/>
              <w:rPr>
                <w:color w:val="000000"/>
              </w:rPr>
            </w:pPr>
          </w:p>
          <w:p w:rsidR="004910CB" w:rsidRDefault="00E50E83">
            <w:pPr>
              <w:numPr>
                <w:ilvl w:val="0"/>
                <w:numId w:val="1"/>
              </w:numPr>
              <w:pBdr>
                <w:top w:val="nil"/>
                <w:left w:val="nil"/>
                <w:bottom w:val="nil"/>
                <w:right w:val="nil"/>
                <w:between w:val="nil"/>
              </w:pBdr>
              <w:spacing w:line="259" w:lineRule="auto"/>
              <w:rPr>
                <w:color w:val="000000"/>
                <w:sz w:val="24"/>
                <w:szCs w:val="24"/>
                <w:u w:val="single"/>
              </w:rPr>
            </w:pPr>
            <w:r>
              <w:rPr>
                <w:b/>
                <w:color w:val="000000"/>
              </w:rPr>
              <w:t>DAS CONDIÇÕES GERAIS:</w:t>
            </w:r>
          </w:p>
          <w:p w:rsidR="004910CB" w:rsidRDefault="00E50E83">
            <w:pPr>
              <w:pBdr>
                <w:top w:val="nil"/>
                <w:left w:val="nil"/>
                <w:bottom w:val="nil"/>
                <w:right w:val="nil"/>
                <w:between w:val="nil"/>
              </w:pBdr>
              <w:spacing w:line="259" w:lineRule="auto"/>
              <w:ind w:left="360"/>
              <w:rPr>
                <w:color w:val="000000"/>
              </w:rPr>
            </w:pPr>
            <w:r>
              <w:rPr>
                <w:color w:val="000000"/>
              </w:rPr>
              <w:t>O COMPROMISSADO receberá o valor proveniente a prestação de serviço de análise e seleção dos projetos, após EXECUÇÃO da prestação de serviço, mediante apresentação de nota fiscal e o relatório de fiscalização expedido pela SEJUCEL.</w:t>
            </w:r>
          </w:p>
          <w:p w:rsidR="004910CB" w:rsidRDefault="004910CB">
            <w:pPr>
              <w:pBdr>
                <w:top w:val="nil"/>
                <w:left w:val="nil"/>
                <w:bottom w:val="nil"/>
                <w:right w:val="nil"/>
                <w:between w:val="nil"/>
              </w:pBdr>
              <w:spacing w:line="259" w:lineRule="auto"/>
              <w:ind w:left="360"/>
              <w:rPr>
                <w:color w:val="000000"/>
                <w:sz w:val="24"/>
                <w:szCs w:val="24"/>
                <w:u w:val="single"/>
              </w:rPr>
            </w:pPr>
          </w:p>
          <w:p w:rsidR="004910CB" w:rsidRDefault="00E50E83">
            <w:pPr>
              <w:numPr>
                <w:ilvl w:val="0"/>
                <w:numId w:val="1"/>
              </w:numPr>
              <w:pBdr>
                <w:top w:val="nil"/>
                <w:left w:val="nil"/>
                <w:bottom w:val="nil"/>
                <w:right w:val="nil"/>
                <w:between w:val="nil"/>
              </w:pBdr>
              <w:spacing w:after="160" w:line="259" w:lineRule="auto"/>
              <w:rPr>
                <w:color w:val="000000"/>
                <w:sz w:val="24"/>
                <w:szCs w:val="24"/>
                <w:u w:val="single"/>
              </w:rPr>
            </w:pPr>
            <w:r>
              <w:rPr>
                <w:b/>
                <w:color w:val="000000"/>
              </w:rPr>
              <w:t>DO FORO:</w:t>
            </w:r>
          </w:p>
          <w:p w:rsidR="004910CB" w:rsidRDefault="00E50E83">
            <w:pPr>
              <w:pBdr>
                <w:top w:val="nil"/>
                <w:left w:val="nil"/>
                <w:bottom w:val="nil"/>
                <w:right w:val="nil"/>
                <w:between w:val="nil"/>
              </w:pBdr>
              <w:spacing w:before="120" w:after="120"/>
              <w:ind w:left="360" w:right="120"/>
              <w:rPr>
                <w:color w:val="000000"/>
              </w:rPr>
            </w:pPr>
            <w:r>
              <w:rPr>
                <w:color w:val="000000"/>
              </w:rPr>
              <w:t>Fica eleito o foro de Porto Velho – Rondônia, para serem dirimidas as dúvidas ou questões oriundas deste Termo.</w:t>
            </w:r>
          </w:p>
          <w:p w:rsidR="004910CB" w:rsidRDefault="00E50E83">
            <w:pPr>
              <w:pBdr>
                <w:top w:val="nil"/>
                <w:left w:val="nil"/>
                <w:bottom w:val="nil"/>
                <w:right w:val="nil"/>
                <w:between w:val="nil"/>
              </w:pBdr>
              <w:spacing w:before="120" w:after="120"/>
              <w:ind w:left="360" w:right="120"/>
              <w:rPr>
                <w:color w:val="000000"/>
              </w:rPr>
            </w:pPr>
            <w:r>
              <w:rPr>
                <w:color w:val="000000"/>
              </w:rPr>
              <w:t xml:space="preserve">E por estarem de comum acordo com todos os itens e condições estabelecidos neste Termo, assinam-no as partes, em 02 (duas) vias de igual teor e </w:t>
            </w:r>
            <w:r>
              <w:rPr>
                <w:color w:val="000000"/>
              </w:rPr>
              <w:t>forma, para os fins de direito, na presença das testemunhas.</w:t>
            </w:r>
          </w:p>
          <w:p w:rsidR="004910CB" w:rsidRDefault="004910CB">
            <w:pPr>
              <w:pBdr>
                <w:top w:val="nil"/>
                <w:left w:val="nil"/>
                <w:bottom w:val="nil"/>
                <w:right w:val="nil"/>
                <w:between w:val="nil"/>
              </w:pBdr>
              <w:spacing w:after="160" w:line="259" w:lineRule="auto"/>
              <w:ind w:left="360"/>
              <w:rPr>
                <w:color w:val="000000"/>
                <w:sz w:val="24"/>
                <w:szCs w:val="24"/>
                <w:u w:val="single"/>
              </w:rPr>
            </w:pPr>
          </w:p>
          <w:p w:rsidR="004910CB" w:rsidRDefault="004910CB">
            <w:pPr>
              <w:rPr>
                <w:sz w:val="24"/>
                <w:szCs w:val="24"/>
                <w:u w:val="single"/>
              </w:rPr>
            </w:pPr>
          </w:p>
          <w:p w:rsidR="004910CB" w:rsidRDefault="00E50E83">
            <w:pPr>
              <w:pBdr>
                <w:top w:val="nil"/>
                <w:left w:val="nil"/>
                <w:bottom w:val="nil"/>
                <w:right w:val="nil"/>
                <w:between w:val="nil"/>
              </w:pBdr>
              <w:spacing w:after="160"/>
              <w:jc w:val="center"/>
              <w:rPr>
                <w:color w:val="000000"/>
              </w:rPr>
            </w:pPr>
            <w:r>
              <w:rPr>
                <w:color w:val="000000"/>
              </w:rPr>
              <w:t>_________________________________________________________________</w:t>
            </w:r>
          </w:p>
          <w:p w:rsidR="004910CB" w:rsidRDefault="00E50E83">
            <w:pPr>
              <w:pBdr>
                <w:top w:val="nil"/>
                <w:left w:val="nil"/>
                <w:bottom w:val="nil"/>
                <w:right w:val="nil"/>
                <w:between w:val="nil"/>
              </w:pBdr>
              <w:spacing w:after="160"/>
              <w:jc w:val="center"/>
              <w:rPr>
                <w:color w:val="000000"/>
              </w:rPr>
            </w:pPr>
            <w:r>
              <w:rPr>
                <w:color w:val="000000"/>
              </w:rPr>
              <w:t>(Compromissário)</w:t>
            </w:r>
          </w:p>
          <w:p w:rsidR="004910CB" w:rsidRDefault="00E50E83">
            <w:pPr>
              <w:pBdr>
                <w:top w:val="nil"/>
                <w:left w:val="nil"/>
                <w:bottom w:val="nil"/>
                <w:right w:val="nil"/>
                <w:between w:val="nil"/>
              </w:pBdr>
              <w:spacing w:after="160"/>
              <w:jc w:val="center"/>
              <w:rPr>
                <w:color w:val="000000"/>
              </w:rPr>
            </w:pPr>
            <w:r>
              <w:rPr>
                <w:color w:val="000000"/>
              </w:rPr>
              <w:t>JOBSON BANDEIRA DOS SANTOS</w:t>
            </w:r>
          </w:p>
          <w:p w:rsidR="004910CB" w:rsidRDefault="00E50E83">
            <w:pPr>
              <w:pBdr>
                <w:top w:val="nil"/>
                <w:left w:val="nil"/>
                <w:bottom w:val="nil"/>
                <w:right w:val="nil"/>
                <w:between w:val="nil"/>
              </w:pBdr>
              <w:spacing w:after="160"/>
              <w:jc w:val="center"/>
              <w:rPr>
                <w:color w:val="000000"/>
              </w:rPr>
            </w:pPr>
            <w:r>
              <w:rPr>
                <w:color w:val="000000"/>
              </w:rPr>
              <w:t>Superintendente da Juventude Cultura, Esporte e Lazer</w:t>
            </w:r>
          </w:p>
          <w:p w:rsidR="004910CB" w:rsidRDefault="00E50E83">
            <w:pPr>
              <w:pBdr>
                <w:top w:val="nil"/>
                <w:left w:val="nil"/>
                <w:bottom w:val="nil"/>
                <w:right w:val="nil"/>
                <w:between w:val="nil"/>
              </w:pBdr>
              <w:spacing w:before="120" w:after="120"/>
              <w:ind w:left="120" w:right="120"/>
              <w:jc w:val="both"/>
              <w:rPr>
                <w:color w:val="000000"/>
              </w:rPr>
            </w:pPr>
            <w:r>
              <w:rPr>
                <w:color w:val="000000"/>
              </w:rPr>
              <w:t> </w:t>
            </w:r>
          </w:p>
          <w:p w:rsidR="004910CB" w:rsidRDefault="00E50E83">
            <w:pPr>
              <w:pBdr>
                <w:top w:val="nil"/>
                <w:left w:val="nil"/>
                <w:bottom w:val="nil"/>
                <w:right w:val="nil"/>
                <w:between w:val="nil"/>
              </w:pBdr>
              <w:spacing w:before="120" w:after="120"/>
              <w:ind w:left="120" w:right="120"/>
              <w:jc w:val="both"/>
              <w:rPr>
                <w:color w:val="000000"/>
              </w:rPr>
            </w:pPr>
            <w:r>
              <w:rPr>
                <w:color w:val="000000"/>
              </w:rPr>
              <w:t> </w:t>
            </w:r>
          </w:p>
          <w:p w:rsidR="004910CB" w:rsidRDefault="00E50E83">
            <w:pPr>
              <w:pBdr>
                <w:top w:val="nil"/>
                <w:left w:val="nil"/>
                <w:bottom w:val="nil"/>
                <w:right w:val="nil"/>
                <w:between w:val="nil"/>
              </w:pBdr>
              <w:spacing w:before="120" w:after="120"/>
              <w:ind w:left="120" w:right="120"/>
              <w:jc w:val="center"/>
              <w:rPr>
                <w:color w:val="000000"/>
              </w:rPr>
            </w:pPr>
            <w:r>
              <w:rPr>
                <w:color w:val="000000"/>
              </w:rPr>
              <w:t>__________________________________________</w:t>
            </w:r>
          </w:p>
          <w:p w:rsidR="004910CB" w:rsidRDefault="00E50E83">
            <w:pPr>
              <w:pBdr>
                <w:top w:val="nil"/>
                <w:left w:val="nil"/>
                <w:bottom w:val="nil"/>
                <w:right w:val="nil"/>
                <w:between w:val="nil"/>
              </w:pBdr>
              <w:spacing w:before="120" w:after="120"/>
              <w:ind w:left="120" w:right="120"/>
              <w:jc w:val="center"/>
              <w:rPr>
                <w:color w:val="000000"/>
              </w:rPr>
            </w:pPr>
            <w:r>
              <w:rPr>
                <w:color w:val="000000"/>
              </w:rPr>
              <w:t>CREDENCIADO</w:t>
            </w:r>
          </w:p>
          <w:p w:rsidR="004910CB" w:rsidRDefault="00E50E83">
            <w:pPr>
              <w:pBdr>
                <w:top w:val="nil"/>
                <w:left w:val="nil"/>
                <w:bottom w:val="nil"/>
                <w:right w:val="nil"/>
                <w:between w:val="nil"/>
              </w:pBdr>
              <w:spacing w:before="120" w:after="120"/>
              <w:ind w:left="120" w:right="120"/>
              <w:jc w:val="center"/>
              <w:rPr>
                <w:color w:val="000000"/>
              </w:rPr>
            </w:pPr>
            <w:r>
              <w:rPr>
                <w:color w:val="000000"/>
              </w:rPr>
              <w:t> </w:t>
            </w:r>
          </w:p>
          <w:p w:rsidR="004910CB" w:rsidRDefault="00E50E83">
            <w:pPr>
              <w:pBdr>
                <w:top w:val="nil"/>
                <w:left w:val="nil"/>
                <w:bottom w:val="nil"/>
                <w:right w:val="nil"/>
                <w:between w:val="nil"/>
              </w:pBdr>
              <w:spacing w:before="120" w:after="120"/>
              <w:ind w:left="120" w:right="120"/>
              <w:jc w:val="center"/>
              <w:rPr>
                <w:color w:val="000000"/>
              </w:rPr>
            </w:pPr>
            <w:r>
              <w:rPr>
                <w:color w:val="000000"/>
              </w:rPr>
              <w:t> </w:t>
            </w:r>
          </w:p>
          <w:p w:rsidR="004910CB" w:rsidRDefault="00E50E83">
            <w:pPr>
              <w:pBdr>
                <w:top w:val="nil"/>
                <w:left w:val="nil"/>
                <w:bottom w:val="nil"/>
                <w:right w:val="nil"/>
                <w:between w:val="nil"/>
              </w:pBdr>
              <w:spacing w:before="120" w:after="120"/>
              <w:ind w:left="120" w:right="120"/>
              <w:jc w:val="center"/>
              <w:rPr>
                <w:color w:val="000000"/>
              </w:rPr>
            </w:pPr>
            <w:r>
              <w:rPr>
                <w:color w:val="000000"/>
              </w:rPr>
              <w:t>Testemunhas:</w:t>
            </w:r>
          </w:p>
          <w:p w:rsidR="004910CB" w:rsidRDefault="00E50E83">
            <w:pPr>
              <w:pBdr>
                <w:top w:val="nil"/>
                <w:left w:val="nil"/>
                <w:bottom w:val="nil"/>
                <w:right w:val="nil"/>
                <w:between w:val="nil"/>
              </w:pBdr>
              <w:spacing w:before="120" w:after="120"/>
              <w:ind w:left="120" w:right="120"/>
              <w:jc w:val="center"/>
              <w:rPr>
                <w:color w:val="000000"/>
              </w:rPr>
            </w:pPr>
            <w:r>
              <w:rPr>
                <w:color w:val="000000"/>
              </w:rPr>
              <w:br/>
              <w:t>1) _______________________________________</w:t>
            </w:r>
          </w:p>
          <w:p w:rsidR="004910CB" w:rsidRDefault="00E50E83">
            <w:pPr>
              <w:pBdr>
                <w:top w:val="nil"/>
                <w:left w:val="nil"/>
                <w:bottom w:val="nil"/>
                <w:right w:val="nil"/>
                <w:between w:val="nil"/>
              </w:pBdr>
              <w:spacing w:before="120" w:after="120"/>
              <w:ind w:left="120" w:right="120"/>
              <w:jc w:val="center"/>
              <w:rPr>
                <w:color w:val="000000"/>
              </w:rPr>
            </w:pPr>
            <w:r>
              <w:rPr>
                <w:color w:val="000000"/>
              </w:rPr>
              <w:br/>
              <w:t> 2) ________________________________________</w:t>
            </w:r>
          </w:p>
          <w:p w:rsidR="004910CB" w:rsidRDefault="004910CB">
            <w:pPr>
              <w:pBdr>
                <w:top w:val="nil"/>
                <w:left w:val="nil"/>
                <w:bottom w:val="nil"/>
                <w:right w:val="nil"/>
                <w:between w:val="nil"/>
              </w:pBdr>
              <w:spacing w:before="120" w:after="120"/>
              <w:ind w:left="120" w:right="120"/>
              <w:jc w:val="center"/>
              <w:rPr>
                <w:color w:val="000000"/>
              </w:rPr>
            </w:pPr>
          </w:p>
        </w:tc>
      </w:tr>
    </w:tbl>
    <w:p w:rsidR="004910CB" w:rsidRDefault="004910CB">
      <w:pPr>
        <w:spacing w:after="0"/>
        <w:rPr>
          <w:sz w:val="24"/>
          <w:szCs w:val="24"/>
          <w:u w:val="single"/>
        </w:rPr>
      </w:pPr>
    </w:p>
    <w:sectPr w:rsidR="004910CB">
      <w:headerReference w:type="default" r:id="rId8"/>
      <w:footerReference w:type="default" r:id="rId9"/>
      <w:pgSz w:w="11906" w:h="16838"/>
      <w:pgMar w:top="1134" w:right="1134" w:bottom="1134" w:left="1134" w:header="426" w:footer="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83" w:rsidRDefault="00E50E83">
      <w:pPr>
        <w:spacing w:after="0" w:line="240" w:lineRule="auto"/>
      </w:pPr>
      <w:r>
        <w:separator/>
      </w:r>
    </w:p>
  </w:endnote>
  <w:endnote w:type="continuationSeparator" w:id="0">
    <w:p w:rsidR="00E50E83" w:rsidRDefault="00E5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CB" w:rsidRDefault="00E50E83">
    <w:pPr>
      <w:pBdr>
        <w:top w:val="nil"/>
        <w:left w:val="nil"/>
        <w:bottom w:val="nil"/>
        <w:right w:val="nil"/>
        <w:between w:val="nil"/>
      </w:pBdr>
      <w:tabs>
        <w:tab w:val="center" w:pos="4252"/>
        <w:tab w:val="right" w:pos="8504"/>
      </w:tabs>
      <w:spacing w:after="0" w:line="240" w:lineRule="auto"/>
      <w:ind w:left="-567"/>
      <w:rPr>
        <w:color w:val="000000"/>
        <w:sz w:val="18"/>
        <w:szCs w:val="18"/>
      </w:rPr>
    </w:pPr>
    <w:r>
      <w:rPr>
        <w:rFonts w:ascii="Arial" w:eastAsia="Arial" w:hAnsi="Arial" w:cs="Arial"/>
        <w:color w:val="555555"/>
        <w:sz w:val="18"/>
        <w:szCs w:val="18"/>
        <w:shd w:val="clear" w:color="auto" w:fill="FCFCFF"/>
      </w:rPr>
      <w:t xml:space="preserve">Av. </w:t>
    </w:r>
    <w:proofErr w:type="spellStart"/>
    <w:r>
      <w:rPr>
        <w:rFonts w:ascii="Arial" w:eastAsia="Arial" w:hAnsi="Arial" w:cs="Arial"/>
        <w:color w:val="555555"/>
        <w:sz w:val="18"/>
        <w:szCs w:val="18"/>
        <w:shd w:val="clear" w:color="auto" w:fill="FCFCFF"/>
      </w:rPr>
      <w:t>Farquar</w:t>
    </w:r>
    <w:proofErr w:type="spellEnd"/>
    <w:r>
      <w:rPr>
        <w:rFonts w:ascii="Arial" w:eastAsia="Arial" w:hAnsi="Arial" w:cs="Arial"/>
        <w:color w:val="555555"/>
        <w:sz w:val="18"/>
        <w:szCs w:val="18"/>
        <w:shd w:val="clear" w:color="auto" w:fill="FCFCFF"/>
      </w:rPr>
      <w:t xml:space="preserve">, 2986 - Bairro Pedrinhas. Palácio Rio Madeira - Edifício Rio </w:t>
    </w:r>
    <w:proofErr w:type="spellStart"/>
    <w:r>
      <w:rPr>
        <w:rFonts w:ascii="Arial" w:eastAsia="Arial" w:hAnsi="Arial" w:cs="Arial"/>
        <w:color w:val="555555"/>
        <w:sz w:val="18"/>
        <w:szCs w:val="18"/>
        <w:shd w:val="clear" w:color="auto" w:fill="FCFCFF"/>
      </w:rPr>
      <w:t>Cautário</w:t>
    </w:r>
    <w:proofErr w:type="spellEnd"/>
    <w:r>
      <w:rPr>
        <w:rFonts w:ascii="Arial" w:eastAsia="Arial" w:hAnsi="Arial" w:cs="Arial"/>
        <w:color w:val="555555"/>
        <w:sz w:val="18"/>
        <w:szCs w:val="18"/>
        <w:shd w:val="clear" w:color="auto" w:fill="FCFCFF"/>
      </w:rPr>
      <w:t>, 5º Andar. Porto Velho, RO. CEP 76801045</w:t>
    </w:r>
  </w:p>
  <w:p w:rsidR="004910CB" w:rsidRDefault="004910C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83" w:rsidRDefault="00E50E83">
      <w:pPr>
        <w:spacing w:after="0" w:line="240" w:lineRule="auto"/>
      </w:pPr>
      <w:r>
        <w:separator/>
      </w:r>
    </w:p>
  </w:footnote>
  <w:footnote w:type="continuationSeparator" w:id="0">
    <w:p w:rsidR="00E50E83" w:rsidRDefault="00E5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CB" w:rsidRDefault="00E50E83">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401568" cy="10180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1568" cy="101803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A8D"/>
    <w:multiLevelType w:val="multilevel"/>
    <w:tmpl w:val="36524DD4"/>
    <w:lvl w:ilvl="0">
      <w:start w:val="1"/>
      <w:numFmt w:val="upp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29E61E16"/>
    <w:multiLevelType w:val="multilevel"/>
    <w:tmpl w:val="BFD25CE2"/>
    <w:lvl w:ilvl="0">
      <w:start w:val="1"/>
      <w:numFmt w:val="upperRoman"/>
      <w:lvlText w:val="%1."/>
      <w:lvlJc w:val="righ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414C4D2B"/>
    <w:multiLevelType w:val="multilevel"/>
    <w:tmpl w:val="413CEE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C62CBA"/>
    <w:multiLevelType w:val="multilevel"/>
    <w:tmpl w:val="42D8E0D6"/>
    <w:lvl w:ilvl="0">
      <w:start w:val="1"/>
      <w:numFmt w:val="upp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CB"/>
    <w:rsid w:val="004910CB"/>
    <w:rsid w:val="009E5B14"/>
    <w:rsid w:val="00E50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58A5C-C6AE-4A19-8E09-72ED797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Cabealho1">
    <w:name w:val="heading 1"/>
    <w:basedOn w:val="Normal"/>
    <w:next w:val="Normal"/>
    <w:pPr>
      <w:widowControl w:val="0"/>
      <w:spacing w:after="0" w:line="240" w:lineRule="auto"/>
      <w:ind w:left="2564" w:right="1204"/>
      <w:jc w:val="center"/>
      <w:outlineLvl w:val="0"/>
    </w:pPr>
    <w:rPr>
      <w:rFonts w:ascii="Times New Roman" w:eastAsia="Times New Roman" w:hAnsi="Times New Roman" w:cs="Times New Roman"/>
      <w:b/>
      <w:sz w:val="24"/>
      <w:szCs w:val="24"/>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cultural.sistemas.ro.gov.br/EditalDeCategoria/EditaisAber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Magalhães Santos</dc:creator>
  <cp:lastModifiedBy>Bruna Magalhães Santos</cp:lastModifiedBy>
  <cp:revision>2</cp:revision>
  <dcterms:created xsi:type="dcterms:W3CDTF">2021-10-07T17:50:00Z</dcterms:created>
  <dcterms:modified xsi:type="dcterms:W3CDTF">2021-10-07T17:50:00Z</dcterms:modified>
</cp:coreProperties>
</file>