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839177F"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239/2021</w:t>
      </w:r>
    </w:p>
    <w:p w14:paraId="21474A77"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097/2021</w:t>
      </w:r>
    </w:p>
    <w:p w14:paraId="47007D37"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0049.412604/2020-09</w:t>
      </w:r>
    </w:p>
    <w:p w14:paraId="78D0737B"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FEB20FA"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materiais de consumo (Materiais Médicos Hospitalares/Penso - Compressas, Campos e outros) - Grupo de apresentação "Compressas", visando atender as necessidades e demandas do Núcleo/Setor de Neurocirurgia. deste Hospital de Base Doutor Ary Pinheiro - HB, a pedido da Secretaria de Estado da Saúde de Rondônia –</w:t>
      </w:r>
      <w:r>
        <w:rPr>
          <w:rStyle w:val="Forte"/>
          <w:rFonts w:ascii="Calibri" w:eastAsiaTheme="majorEastAsia" w:hAnsi="Calibri" w:cs="Calibri"/>
          <w:color w:val="000000"/>
          <w:sz w:val="27"/>
          <w:szCs w:val="27"/>
        </w:rPr>
        <w:t> SESAU</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2A5D1B38"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0EA0BAF"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3DCF1855"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Registro de Preços visando à futura, eventual </w:t>
      </w:r>
      <w:proofErr w:type="gramStart"/>
      <w:r>
        <w:rPr>
          <w:rFonts w:ascii="Calibri" w:hAnsi="Calibri" w:cs="Calibri"/>
          <w:color w:val="000000"/>
          <w:sz w:val="27"/>
          <w:szCs w:val="27"/>
        </w:rPr>
        <w:t>aquisição  de</w:t>
      </w:r>
      <w:proofErr w:type="gramEnd"/>
      <w:r>
        <w:rPr>
          <w:rFonts w:ascii="Calibri" w:hAnsi="Calibri" w:cs="Calibri"/>
          <w:color w:val="000000"/>
          <w:sz w:val="27"/>
          <w:szCs w:val="27"/>
        </w:rPr>
        <w:t xml:space="preserve"> materiais de consumo (Materiais Médicos Hospitalares/Penso - Compressas, Campos e outros) - Grupo de apresentação "Compressas", visando atender as necessidades e demandas do Núcleo/Setor de Neurocirurgia. deste Hospital de Base Doutor Ary Pinheiro - HB, a pedido da Secretaria de Estado da Saúde de Rondônia –</w:t>
      </w:r>
      <w:r>
        <w:rPr>
          <w:rStyle w:val="Forte"/>
          <w:rFonts w:ascii="Calibri" w:eastAsiaTheme="majorEastAsia" w:hAnsi="Calibri" w:cs="Calibri"/>
          <w:color w:val="000000"/>
          <w:sz w:val="27"/>
          <w:szCs w:val="27"/>
        </w:rPr>
        <w:t> SESAU</w:t>
      </w:r>
      <w:r>
        <w:rPr>
          <w:rFonts w:ascii="Calibri" w:hAnsi="Calibri" w:cs="Calibri"/>
          <w:color w:val="000000"/>
          <w:sz w:val="27"/>
          <w:szCs w:val="27"/>
        </w:rPr>
        <w:t>.</w:t>
      </w:r>
    </w:p>
    <w:p w14:paraId="4CE553F6"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4D2F177"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 DA VIGÊNCIA</w:t>
      </w:r>
    </w:p>
    <w:p w14:paraId="7B8627B0"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64AD7363"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6D307EE5"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881008A"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07FE96F6"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4CF21357"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DDCBE61"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18807DE9"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xml:space="preserve"> O preço, a quantidade, o fornecedor e a especificação do </w:t>
      </w:r>
      <w:proofErr w:type="spellStart"/>
      <w:r>
        <w:rPr>
          <w:rFonts w:ascii="Calibri" w:hAnsi="Calibri" w:cs="Calibri"/>
          <w:color w:val="000000"/>
          <w:sz w:val="27"/>
          <w:szCs w:val="27"/>
        </w:rPr>
        <w:t>ite</w:t>
      </w:r>
      <w:proofErr w:type="spellEnd"/>
      <w:r>
        <w:rPr>
          <w:rFonts w:ascii="Calibri" w:hAnsi="Calibri" w:cs="Calibri"/>
          <w:color w:val="000000"/>
          <w:sz w:val="27"/>
          <w:szCs w:val="27"/>
        </w:rPr>
        <w:t xml:space="preserve"> m registrado nesta Ata, encontram-se indicados no Anexo I deste instrumento.</w:t>
      </w:r>
    </w:p>
    <w:p w14:paraId="146B1210"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AA0AF0D"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31686B40"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0DE754D0"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7EAD6BE0"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5E10790B"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390080D3"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635AF2B8"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31E7568"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328AD439"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12FC6673"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77F31826"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O prazo para entrega deverá ocorrer em até 30 (trinta) dias após o recebimento da nota de empenho.</w:t>
      </w:r>
    </w:p>
    <w:p w14:paraId="43F269DB"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materiais deverão ser entregues na Central de Abastecimento Farmacêutico – CAF II: Rua: Aparício de Morais nº. 4378 Bairro: Setor Industrial, CEP: 76.801-460 - Telefone: (69) 3216–5759 - Porto Velho, Rondônia. O expediente é de segunda a sexta, das 07h30min às 13h30min horas.</w:t>
      </w:r>
    </w:p>
    <w:p w14:paraId="45D3E0BB"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C614E88"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6C0EA71F"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092E49E0"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4FD4C25B"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30310ECD"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65119DF8"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6FE62894"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BAFAEC6"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4DD0C941"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5DC5AF08"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3D8BFBE"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2D409CD6"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xml:space="preserve"> A licitante que, convocada dentro do prazo de validade de sua proposta,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com a União, e será descredenciado do SICAF e da SUPEL, pelo prazo de até cinco anos, ou </w:t>
      </w:r>
      <w:r>
        <w:rPr>
          <w:rFonts w:ascii="Calibri" w:hAnsi="Calibri" w:cs="Calibri"/>
          <w:color w:val="000000"/>
          <w:sz w:val="27"/>
          <w:szCs w:val="27"/>
        </w:rPr>
        <w:lastRenderedPageBreak/>
        <w:t>enquanto perdurarem os motivos determinantes da punição ou até que seja promovida a reabilitação perante a própria autoridade que aplicou a sanção, ficando ainda sujeita, sem prejuízo da aplicação das sanções previstas na legislação vigente, à:</w:t>
      </w:r>
    </w:p>
    <w:p w14:paraId="22CD9C27"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Advertência, por escrito, sempre que forem constatadas falhas na execução dos serviços;</w:t>
      </w:r>
    </w:p>
    <w:p w14:paraId="44EC58E9"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Multa, conforme descrito na tabela 01, até o 30º (trigésimo) dia de atraso no cumprimento das obrigações;</w:t>
      </w:r>
    </w:p>
    <w:p w14:paraId="3A1BCD31"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Multa de 10 % (dez por cento) do valor total contratado, a partir do 31º (trigésimo primeiro dia) de atraso, o que ensejará a rescisão contratual;</w:t>
      </w:r>
    </w:p>
    <w:p w14:paraId="579BB5E1"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d) Impedimento de contratar com a Administração por prazo não superior a 05 (cinco) anos, de acordo com o art.49 do Decreto nº 10.024/19 e Lei Federal nº 10.520/</w:t>
      </w:r>
      <w:proofErr w:type="gramStart"/>
      <w:r>
        <w:rPr>
          <w:rFonts w:ascii="Calibri" w:hAnsi="Calibri" w:cs="Calibri"/>
          <w:color w:val="000000"/>
          <w:sz w:val="27"/>
          <w:szCs w:val="27"/>
        </w:rPr>
        <w:t>2002 ,</w:t>
      </w:r>
      <w:proofErr w:type="gramEnd"/>
      <w:r>
        <w:rPr>
          <w:rFonts w:ascii="Calibri" w:hAnsi="Calibri" w:cs="Calibri"/>
          <w:color w:val="000000"/>
          <w:sz w:val="27"/>
          <w:szCs w:val="27"/>
        </w:rPr>
        <w:t xml:space="preserve"> art.7.</w:t>
      </w:r>
    </w:p>
    <w:p w14:paraId="0B9D53DB"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e) Declaração de Inidoneidade para licitar ou contratar com a União, Estados, Distrito Federal ou Municípios, com fulcro no Art.87, IV, da Lei Federal nº 8.666/93, quando a CONTRATADA deixar de cumprir as obrigações assumidas, praticando falta grave, dolosa ou revestida de má-fé.</w:t>
      </w:r>
    </w:p>
    <w:p w14:paraId="2DA6A73E"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D6AAF37"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xml:space="preserve"> Para efeito de aplicação de multas, às infrações são atribuídos graus, com percentuais de multa </w:t>
      </w:r>
      <w:proofErr w:type="gramStart"/>
      <w:r>
        <w:rPr>
          <w:rFonts w:ascii="Calibri" w:hAnsi="Calibri" w:cs="Calibri"/>
          <w:color w:val="000000"/>
          <w:sz w:val="27"/>
          <w:szCs w:val="27"/>
        </w:rPr>
        <w:t>conforme  tabela</w:t>
      </w:r>
      <w:proofErr w:type="gramEnd"/>
      <w:r>
        <w:rPr>
          <w:rFonts w:ascii="Calibri" w:hAnsi="Calibri" w:cs="Calibri"/>
          <w:color w:val="000000"/>
          <w:sz w:val="27"/>
          <w:szCs w:val="27"/>
        </w:rPr>
        <w:t xml:space="preserve"> pormenorizada inserida no edital de licitações do pregão o qual originou-se esta ata . Na referida tabela estão </w:t>
      </w:r>
      <w:proofErr w:type="gramStart"/>
      <w:r>
        <w:rPr>
          <w:rFonts w:ascii="Calibri" w:hAnsi="Calibri" w:cs="Calibri"/>
          <w:color w:val="000000"/>
          <w:sz w:val="27"/>
          <w:szCs w:val="27"/>
        </w:rPr>
        <w:t>elencadas  apenas</w:t>
      </w:r>
      <w:proofErr w:type="gramEnd"/>
      <w:r>
        <w:rPr>
          <w:rFonts w:ascii="Calibri" w:hAnsi="Calibri" w:cs="Calibri"/>
          <w:color w:val="000000"/>
          <w:sz w:val="27"/>
          <w:szCs w:val="27"/>
        </w:rPr>
        <w:t xml:space="preserve"> as principais situações previstas, não eximindo de outras equivalentes que surgirem, conforme o caso:</w:t>
      </w:r>
    </w:p>
    <w:p w14:paraId="30D0CBF0"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552C92DF"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Após 30 (trinta) dias da falta de execução do objeto, será considerada inexecução total do contrato, o que ensejará a rescisão contratual.</w:t>
      </w:r>
    </w:p>
    <w:p w14:paraId="2A0B694D"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12D38538"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w:t>
      </w:r>
    </w:p>
    <w:p w14:paraId="57AA6B71"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será obrigatoriamente registrada no Sistema de Cadastramento Unificado de Fornecedores – SICAF, bem como em sistemas Estaduais e, no caso de suspensão de licitar, a Contratada será descredenciada por até 05 (cinco) anos, sem prejuízo das multas previstas neste Termo de Referência e das demais cominações legais.</w:t>
      </w:r>
    </w:p>
    <w:p w14:paraId="3FE8AD6F"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Tenham sofrido condenações definitivas por praticarem, por meio dolosos, fraude fiscal no recolhimento de tributos;</w:t>
      </w:r>
    </w:p>
    <w:p w14:paraId="5C525DEE"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 </w:t>
      </w:r>
      <w:r>
        <w:rPr>
          <w:rFonts w:ascii="Calibri" w:hAnsi="Calibri" w:cs="Calibri"/>
          <w:color w:val="000000"/>
          <w:sz w:val="27"/>
          <w:szCs w:val="27"/>
        </w:rPr>
        <w:t>Tenham praticado atos ilícitos visando a frustrar os objetivos da licitação;</w:t>
      </w:r>
    </w:p>
    <w:p w14:paraId="5EEA4ECC"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Demonstrem não possuir idoneidade para contratar com a Administração em virtude de atos ilícitos praticados.</w:t>
      </w:r>
    </w:p>
    <w:p w14:paraId="5DDDD20E"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1D05D25"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 DA UTILIZAÇÃO DA ATA</w:t>
      </w:r>
    </w:p>
    <w:p w14:paraId="51922A29"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6F6838F0"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0C5D4B6C"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72232800"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49C289ED"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473221BD"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694524ED"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CA68D10"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3C7E670B"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5843EEBB"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xml:space="preserve"> Nos termos do Decreto Estadual 25.969 de 07 de </w:t>
      </w:r>
      <w:proofErr w:type="gramStart"/>
      <w:r>
        <w:rPr>
          <w:rFonts w:ascii="Calibri" w:hAnsi="Calibri" w:cs="Calibri"/>
          <w:color w:val="000000"/>
          <w:sz w:val="27"/>
          <w:szCs w:val="27"/>
        </w:rPr>
        <w:t>Abril</w:t>
      </w:r>
      <w:proofErr w:type="gramEnd"/>
      <w:r>
        <w:rPr>
          <w:rFonts w:ascii="Calibri" w:hAnsi="Calibri" w:cs="Calibri"/>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412A5EB0"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xml:space="preserve"> A revisão de preços prevista no caput do artigo 23B </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117F6F37"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60DA4C52"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25.969/2021. a revisão aprovada não poderá ultrapassar o preço praticado no mercado e deverá manter a diferença percentual apurada entre o preço originalmente constante da proposta e o preço de mercado vigente à época do registro.</w:t>
      </w:r>
    </w:p>
    <w:p w14:paraId="31AEE099"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xml:space="preserve"> O Decreto Estadual 18.340/2013 dispõe ainda no artigo 25, sobre as hipóteses do cancelamento do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1CEB1C42"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na hipótese deste se tornar superior aqueles praticados no mercado, ou sofrer sanção prevista na forma do artigo 87 da Lei 8.666/93.</w:t>
      </w:r>
    </w:p>
    <w:p w14:paraId="02A7DF2E"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D299AF5"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402AB280"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410EAEE5"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6B584B39"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354AC737"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10C9460D"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149115A0"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1CF757BF"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57EDEBD7"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5D7D6C73"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2FB64D59"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7FC21370"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370B429"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25BC6821"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47F38EA8"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65B4A69C"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5E6897DF"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6D9720BF"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59D03E50"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24F377E1"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B4AAD09"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6ADCF1E2"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39384D1C"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SESAU - </w:t>
      </w:r>
      <w:r>
        <w:rPr>
          <w:rFonts w:ascii="Calibri" w:hAnsi="Calibri" w:cs="Calibri"/>
          <w:color w:val="000000"/>
          <w:sz w:val="27"/>
          <w:szCs w:val="27"/>
        </w:rPr>
        <w:t>Secretaria de Estado da Saúde de Rondônia.</w:t>
      </w:r>
    </w:p>
    <w:p w14:paraId="3FF2F520"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6B2B12D"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70440268"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7C1D41AB"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096D40EC"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3F6064B1"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7003B4A9"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936B9D8"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23847673"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6B79DE" w14:textId="77777777" w:rsidR="00E03262" w:rsidRDefault="00E03262" w:rsidP="00E0326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26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51BF"/>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2748</Words>
  <Characters>15262</Characters>
  <Application>Microsoft Office Word</Application>
  <DocSecurity>0</DocSecurity>
  <Lines>127</Lines>
  <Paragraphs>35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17975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2021-10-19T13:48:00Z</dcterms:created>
  <dcterms:modified xsi:type="dcterms:W3CDTF">2021-10-19T13:49:00Z</dcterms:modified>
</cp:coreProperties>
</file>