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35A36A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237/2021</w:t>
      </w:r>
    </w:p>
    <w:p w14:paraId="66EEE1C1"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88/2021</w:t>
      </w:r>
    </w:p>
    <w:p w14:paraId="7557A185"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0029.505181/2020-08</w:t>
      </w:r>
    </w:p>
    <w:p w14:paraId="3DDC678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7D45F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para copa e cozinha, a pedido do Secretaria de Estado da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FF2FCD7"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DA763B"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2F6A321"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para copa e cozinha, a pedido do Secretaria de Estado da Educação - </w:t>
      </w:r>
      <w:r>
        <w:rPr>
          <w:rStyle w:val="Forte"/>
          <w:rFonts w:ascii="Calibri" w:eastAsiaTheme="majorEastAsia" w:hAnsi="Calibri" w:cs="Calibri"/>
          <w:color w:val="000000"/>
          <w:sz w:val="27"/>
          <w:szCs w:val="27"/>
        </w:rPr>
        <w:t>SEDUC.</w:t>
      </w:r>
    </w:p>
    <w:p w14:paraId="6ADCFFD4"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4F55D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D9DBDD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789215F"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2D216F3"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C72F2A"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4690B4A"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CE2F61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07B2E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46682D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3BB6139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1AB5D7"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2BECA1A"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C5C2ED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77E07C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8FD726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E1A9EBA"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E48201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03AFA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8767454"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359B2A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326847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materiais/bens, deverão ser entregues, no prazo de até 30 (trinta) dias, contados a partir do momento do recebimento da Nota de Empenho – NE ou outro documento equivalente, em remessa única.</w:t>
      </w:r>
    </w:p>
    <w:p w14:paraId="67B5532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14:paraId="3243CB4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DAEB1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278B775"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C22B3A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A54128D"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6586AD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90775C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E3D10B4"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B6ADF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63BED9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4176B9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8650C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8D49CA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Style w:val="Forte"/>
          <w:rFonts w:ascii="Calibri" w:eastAsiaTheme="majorEastAsia" w:hAnsi="Calibri" w:cs="Calibri"/>
          <w:color w:val="FF0000"/>
          <w:sz w:val="27"/>
          <w:szCs w:val="27"/>
        </w:rPr>
        <w:t>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4F89C63F"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p>
    <w:p w14:paraId="73873F1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14:paraId="268C5E4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14:paraId="720891B1"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4DCA2857"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F7A60F4"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4E6583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3D22AB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São exemplos de infração administrativa penalizáveis, nos termos da Lei nº 8.666, de 1993, da Lei nº 10.520, de 2002, dos Decretos Estaduais nº 12.205/06, 12.234/06 (Pregão Eletrônico e Presencial):</w:t>
      </w:r>
    </w:p>
    <w:p w14:paraId="70BC8883"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0BCDFCF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786EF88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544160F5"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6B31720A"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e) Descumprimento de qualquer dos deveres elencados no Edital ou no Contrato.</w:t>
      </w:r>
    </w:p>
    <w:p w14:paraId="62F0DE1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4D843CD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51FF2CD"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5B2A0BB"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00CCDBE3"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4E1C3E8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C986BB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E68E4C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491E9BCF"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64C407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2652277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38C1D5D4"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7F3503A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2FDADFA3"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previstas, que poderão ser aplicadas cumulativamente.</w:t>
      </w:r>
    </w:p>
    <w:p w14:paraId="7AC2375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9.21</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07D12D1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w:t>
      </w:r>
      <w:r>
        <w:rPr>
          <w:rFonts w:ascii="Calibri" w:hAnsi="Calibri" w:cs="Calibri"/>
          <w:color w:val="000000"/>
          <w:sz w:val="27"/>
          <w:szCs w:val="27"/>
        </w:rPr>
        <w:t> Tratando-se de sanção do art. 7° da Lei do Pregão, os seus efeitos recaem apenas na esfera administrativa do órgão que a aplicou".</w:t>
      </w:r>
    </w:p>
    <w:p w14:paraId="7EBB9F3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D74B2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46C140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149352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089B0A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D4ABE13"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76ABCB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4D67BD7"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359CC43"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FDE20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4D62A6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7245EF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95B3AFD"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BF2C3EA"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B52D734"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416AEA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536D81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40CD6A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92A406"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AB433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C3F3275"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F7F8E4B"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B829A47"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C65771F"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B97DE9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C432A4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7BA0DC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7AF94A3"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5E6090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4F54D3F"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1A165D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CBED67"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55F402B"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22D6A7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35B387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D912AA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51D4BB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FED79AD"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1461BA6A"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3942D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3C4D1E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0B61297"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SEDUC </w:t>
      </w:r>
      <w:r>
        <w:rPr>
          <w:rFonts w:ascii="Calibri" w:hAnsi="Calibri" w:cs="Calibri"/>
          <w:color w:val="000000"/>
          <w:sz w:val="27"/>
          <w:szCs w:val="27"/>
        </w:rPr>
        <w:t>– Secretaria de Estado da Educação.</w:t>
      </w:r>
    </w:p>
    <w:p w14:paraId="73F40C1C"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4818588"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7EC99E2"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AD84719"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62C555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DD19FA0"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DE5947E"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7E77AB" w14:textId="77777777" w:rsidR="000333A7" w:rsidRDefault="000333A7" w:rsidP="000333A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3216</Words>
  <Characters>18044</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2021-10-19T13:15:00Z</dcterms:created>
  <dcterms:modified xsi:type="dcterms:W3CDTF">2021-10-19T13:18:00Z</dcterms:modified>
</cp:coreProperties>
</file>