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4734FCE"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224/2021</w:t>
      </w:r>
    </w:p>
    <w:p w14:paraId="76C9472F"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315/2021</w:t>
      </w:r>
    </w:p>
    <w:p w14:paraId="22BCBC81"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0036.288825/2019-57</w:t>
      </w:r>
    </w:p>
    <w:p w14:paraId="3D986007"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A8CB1B"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(Material Médico Hospitalares - Drenos),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B84871F"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40B8EF"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1C03684A"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(Material Médico Hospitalares - Drenos),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color w:val="000000"/>
          <w:sz w:val="27"/>
          <w:szCs w:val="27"/>
        </w:rPr>
        <w:t>.</w:t>
      </w:r>
    </w:p>
    <w:p w14:paraId="49C4B2F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120CD7"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183518C"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5DC3F99"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D80C552"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1EB47A"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14FE966C"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5DD6882"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FEEA57"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370DE66"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7C10E43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10FBA9"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99353D8"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40449F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395F03B"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7A2DD20F"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AE0865B"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28F231B"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4298A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DE804D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90E2D02"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FE16019"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não superior a 30 (trinta) dias corridos, contado a partir da confirmação de  recebimento da Nota de Empenho.</w:t>
      </w:r>
    </w:p>
    <w:p w14:paraId="243065AB"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na </w:t>
      </w:r>
      <w:r>
        <w:rPr>
          <w:rStyle w:val="Forte"/>
          <w:rFonts w:ascii="Calibri" w:eastAsiaTheme="majorEastAsia" w:hAnsi="Calibri" w:cs="Calibri"/>
          <w:color w:val="000000"/>
          <w:sz w:val="27"/>
          <w:szCs w:val="27"/>
        </w:rPr>
        <w:t>Central de Abastecimento Farmacêutico - CAF II,</w:t>
      </w:r>
      <w:r>
        <w:rPr>
          <w:rFonts w:ascii="Calibri" w:hAnsi="Calibri" w:cs="Calibri"/>
          <w:color w:val="000000"/>
          <w:sz w:val="27"/>
          <w:szCs w:val="27"/>
        </w:rPr>
        <w:t> sito à Rua: Aparício de Morais nº 4378 – bairro: Setor Industrial, CEP: 76824-128, na cidade de Porto Velho/RO. Os dias de funcionamento são de segunda-feira a sexta-feira das 07h30 às 13h30.</w:t>
      </w:r>
    </w:p>
    <w:p w14:paraId="6FB908A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8D6C46"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47F7419"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3895C58A"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64C80C88"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6995AF98"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E7E5387"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F573ECE"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1139BC"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CE08D0E"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D902EEC"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64EF9A"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E488E95"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 12.205/06 e do Decreto Estadual nº 12.234/06, a contratada que:</w:t>
      </w:r>
    </w:p>
    <w:p w14:paraId="3092C757"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09F62CF3"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Ensejar o retardamento da execução do objeto;</w:t>
      </w:r>
    </w:p>
    <w:p w14:paraId="44271FAC"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Falhar ou fraudar na execução do contrato;</w:t>
      </w:r>
    </w:p>
    <w:p w14:paraId="2BF6E892"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IV - Comportar-se de modo inidôneo;</w:t>
      </w:r>
    </w:p>
    <w:p w14:paraId="3A44EFC6"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01AF446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3BDF726A"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06352E4C"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413DBF4C"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14:paraId="78E0AE75"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5E91B54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16E3C7CC"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3B74ABA3"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5E94D7B"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624E232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6AA857BA"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73A675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69C5118"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65DFFEA7"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5D392D19"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5840F8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66542952"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45C21E0F"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4307F52C"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A contratada, total e/ou parcialmente inadimplente, serão aplicadas as sanções previstas nos artigos 86 e 87 da Lei Federal nº 8.666/93, a saber:</w:t>
      </w:r>
    </w:p>
    <w:p w14:paraId="23557D0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21A9C8B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Multa, cobrada pelo Estado, por via administrativa ou judicial, equivalente a 1% (um por cento) do valor estimado pelo item ofertado, ou ainda nos casos descritos abaixo:</w:t>
      </w:r>
    </w:p>
    <w:p w14:paraId="0986BCA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1100ED4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b) Multa de 10% (dez por cento), na hipótese de inexecução parcial ou total de cada Nota de Empenho, calculada sobre o valor total da inadimplência ou na hipótese do não cumprimento de qualquer das obrigações assumidas.</w:t>
      </w:r>
    </w:p>
    <w:p w14:paraId="6B9C5C2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As multas serão, após regular processo administrativo, descontadas dos créditos da empresa detentora da Ata ou, se for o caso, cobrada administrativa ou judicialmente.</w:t>
      </w:r>
    </w:p>
    <w:p w14:paraId="6887C19E"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3B1BC402"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333B530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05EBEB6A"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46B2EEC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597EA3F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6A649DCE"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3106E3B2"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15.15, IV à todos os entes Federativo e os efeitos do subitem 15.4 ao Ente Federativo que aplicou a sanção conforme posicionamento do STJ e PGE/RO.</w:t>
      </w:r>
    </w:p>
    <w:p w14:paraId="7059E0CE"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43122111"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298B681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6425D95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18.340/13, quando:</w:t>
      </w:r>
    </w:p>
    <w:p w14:paraId="1B0F5F95"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37D29878"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252FF60F"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9.16.3.3 -</w:t>
      </w:r>
      <w:r>
        <w:rPr>
          <w:rFonts w:ascii="Calibri" w:hAnsi="Calibri" w:cs="Calibri"/>
          <w:color w:val="000000"/>
          <w:sz w:val="27"/>
          <w:szCs w:val="27"/>
        </w:rPr>
        <w:t> A detentora incorrer reiteradamente em infrações previstas no Edital;</w:t>
      </w:r>
    </w:p>
    <w:p w14:paraId="3BFF5559"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4D79FE2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8.666/93 ou no artigo 7º da Lei 10.520/02.</w:t>
      </w:r>
    </w:p>
    <w:p w14:paraId="5C177781"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0B507432"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28865DF5"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45CF57E5"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3E6BC881"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Por razões de interesse público</w:t>
      </w:r>
    </w:p>
    <w:p w14:paraId="47F7CE4F"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08B2978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466CB073"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52B9F668"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 </w:t>
      </w:r>
    </w:p>
    <w:p w14:paraId="432ECA53"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514A41F"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E92E87"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3AAAED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6030225"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C75FF37"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5CC962E"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4AA3B3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1AE013A"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B71BE8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A7EEB5"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67D6B2A"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484F78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C198A6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ADE80E1"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45032941"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255283A6"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9913365"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26D9D76"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3E5D55"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D8F58D3"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F4F8A6B"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97DF6C7"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070E3D9"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5E1AE1C"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DE13D71"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54FEE6A6"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1E35CE6"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A6FC14B"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C5716A3"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40C547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12211E"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A8D5057"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A500EA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C4E9F23"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F3C01C5"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C1CA66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2279979"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5437A6AD"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020E04"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7E0A11F"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r>
        <w:rPr>
          <w:rFonts w:ascii="Calibri" w:hAnsi="Calibri" w:cs="Calibri"/>
          <w:color w:val="000000"/>
          <w:sz w:val="27"/>
          <w:szCs w:val="27"/>
        </w:rPr>
        <w:br/>
      </w:r>
      <w:r>
        <w:rPr>
          <w:rFonts w:ascii="Calibri" w:hAnsi="Calibri" w:cs="Calibri"/>
          <w:b/>
          <w:bCs/>
          <w:color w:val="000000"/>
          <w:sz w:val="27"/>
          <w:szCs w:val="27"/>
        </w:rPr>
        <w:t>SESAU - </w:t>
      </w:r>
      <w:r>
        <w:rPr>
          <w:rFonts w:ascii="Calibri" w:hAnsi="Calibri" w:cs="Calibri"/>
          <w:color w:val="000000"/>
          <w:sz w:val="27"/>
          <w:szCs w:val="27"/>
        </w:rPr>
        <w:t>Secretaria de Estado da Saúde.</w:t>
      </w:r>
    </w:p>
    <w:p w14:paraId="0F91EADF"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EC20DC"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CB58C6F"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BD9698C"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EB2F6EE"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2B7BE7C"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E137376"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B415C97"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8A0E42"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4076</Words>
  <Characters>22015</Characters>
  <Application>Microsoft Office Word</Application>
  <DocSecurity>0</DocSecurity>
  <Lines>183</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2021-10-13T14:32:00Z</dcterms:created>
  <dcterms:modified xsi:type="dcterms:W3CDTF">2021-10-13T14:33:00Z</dcterms:modified>
</cp:coreProperties>
</file>