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D7FF00D"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219/2021</w:t>
      </w:r>
    </w:p>
    <w:p w14:paraId="60290387"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281/2021</w:t>
      </w:r>
    </w:p>
    <w:p w14:paraId="207945F6"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0009.016313/2021-32</w:t>
      </w:r>
    </w:p>
    <w:p w14:paraId="677DA1C4"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B3CD45"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D6AD93"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para confecção de crachás, cordão e capa protetora,  a pedido do Departamento Estadual de Estradas de Rodagem e Transportes - </w:t>
      </w:r>
      <w:r>
        <w:rPr>
          <w:rStyle w:val="Forte"/>
          <w:rFonts w:ascii="Calibri" w:eastAsiaTheme="majorEastAsia" w:hAnsi="Calibri" w:cs="Calibri"/>
          <w:color w:val="000000"/>
          <w:sz w:val="27"/>
          <w:szCs w:val="27"/>
        </w:rPr>
        <w:t>DER</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3CDD49F"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6280AD"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FEF2710"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para confecção de crachás, cordão e capa protetora a pedido do Departamento Estadual de Estradas de Rodagem e Transportes - </w:t>
      </w:r>
      <w:r>
        <w:rPr>
          <w:rStyle w:val="Forte"/>
          <w:rFonts w:ascii="Calibri" w:eastAsiaTheme="majorEastAsia" w:hAnsi="Calibri" w:cs="Calibri"/>
          <w:color w:val="000000"/>
          <w:sz w:val="27"/>
          <w:szCs w:val="27"/>
        </w:rPr>
        <w:t>DER.</w:t>
      </w:r>
    </w:p>
    <w:p w14:paraId="14BA9630"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206F33"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856E778"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8FACEAC"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8D75B6C"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DB2E41"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B8A3C4A"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137EA6F"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294810"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FBE804E"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6A4D0441"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A91C3D"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DAD15D9"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42BD677"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0CF4248"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A2EC70E"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F974A83"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A12690A"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54A297"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CEE3B5E"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A686E0C"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352A796"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Os produtos deverão ser entregues conforme a necessidade dessa secretaria no prazo máximo de 30 (trinta) dias após o recebimento da Nota de Empenho. </w:t>
      </w:r>
    </w:p>
    <w:p w14:paraId="24F40E8B"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A entrega deverá ser efetuada no Almoxarifado do DER-RO, sito a Av. Rio Madeira nº 3056 - Bairro: </w:t>
      </w:r>
      <w:proofErr w:type="spellStart"/>
      <w:r>
        <w:rPr>
          <w:rFonts w:ascii="Calibri" w:hAnsi="Calibri" w:cs="Calibri"/>
          <w:color w:val="000000"/>
          <w:sz w:val="27"/>
          <w:szCs w:val="27"/>
        </w:rPr>
        <w:t>Flodoaldo</w:t>
      </w:r>
      <w:proofErr w:type="spellEnd"/>
      <w:r>
        <w:rPr>
          <w:rFonts w:ascii="Calibri" w:hAnsi="Calibri" w:cs="Calibri"/>
          <w:color w:val="000000"/>
          <w:sz w:val="27"/>
          <w:szCs w:val="27"/>
        </w:rPr>
        <w:t xml:space="preserve"> Pontes Pinto - CEP: 76820408 - ao lado do Porto Velho Shopping - fone: (69) 98413-0085. Horário de atendimento: das 08h00min às 13h00min de segunda a sexta–feira, sempre através de documento hábil que comprove as quantidades recebidas, indicando o nome e matrícula do responsável pelo recebimento.</w:t>
      </w:r>
    </w:p>
    <w:p w14:paraId="41DEB74C"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2ABF6B"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AFE396C"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5EDBE00"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C9ED0B4"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3B966E8"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AAD79C4"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C2549D7"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8E9DD6"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34A07C4"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A18A8C5"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0F5ABE"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B19084F"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Pela Inexecução total ou parcial do objeto, o DER-RO poderá, garantida a prévia defesa, aplicar à empresa contratada as seguintes sanções:</w:t>
      </w:r>
    </w:p>
    <w:p w14:paraId="1A609E03"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9.1.1.</w:t>
      </w:r>
      <w:r>
        <w:rPr>
          <w:rFonts w:ascii="Calibri" w:hAnsi="Calibri" w:cs="Calibri"/>
          <w:color w:val="000000"/>
          <w:sz w:val="27"/>
          <w:szCs w:val="27"/>
        </w:rPr>
        <w:t> Advertência, que será aplicada por meio de notificação, estabelecendo o prazo de 05 (cinco) dias úteis para que a empresa contratada apresente justificativas para o atraso, que só serão aceitas mediante crivo da Administração;</w:t>
      </w:r>
    </w:p>
    <w:p w14:paraId="079A8E5E"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4F54653E"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9.1.2.1</w:t>
      </w:r>
      <w:r>
        <w:rPr>
          <w:rFonts w:ascii="Calibri" w:hAnsi="Calibri" w:cs="Calibri"/>
          <w:color w:val="000000"/>
          <w:sz w:val="27"/>
          <w:szCs w:val="27"/>
        </w:rPr>
        <w:t>. A multa moratória será aplicada a partir do 1º (primeiro) dia útil da inadimplência, contado da data definida para o regular cumprimento da obrigação;</w:t>
      </w:r>
    </w:p>
    <w:p w14:paraId="73BCE518"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30ADC74D"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15C398EF"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Multa de 10% (dez por cento) sobre o valor do produto não entregue, no caso de inexecução parcial, sem embargo de indenização dos prejuízos porventura causados ao DER/RO pela execução parcial do contrato;</w:t>
      </w:r>
    </w:p>
    <w:p w14:paraId="0BCED900"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Multa de 10% (dez por cento) sobre o valor total do contrato, no caso de sua inexecução total, sem embargo de indenização dos prejuízos porventura causados ao DER/RO;</w:t>
      </w:r>
    </w:p>
    <w:p w14:paraId="1967961E"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Multa de 10% (dez por cento) sobre o valor do produto não entregue, pela recusa injustificada na substituição de material defeituoso no prazo estabelecido neste Termo de Referência;</w:t>
      </w:r>
    </w:p>
    <w:p w14:paraId="35F6AA75"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52F60EC3"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A multa prevista nos subitens 9.1.2, 9.1.3 e 9.1.8 poderão ser aplicadas isoladas ou em conjunto com as previstas nos subitens 9.1.5 e 9.1.6;</w:t>
      </w:r>
    </w:p>
    <w:p w14:paraId="44A13AE3"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785CED74"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w:t>
      </w:r>
      <w:r>
        <w:rPr>
          <w:rFonts w:ascii="Calibri" w:hAnsi="Calibri" w:cs="Calibri"/>
          <w:color w:val="000000"/>
          <w:sz w:val="27"/>
          <w:szCs w:val="27"/>
        </w:rPr>
        <w:lastRenderedPageBreak/>
        <w:t>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200E76ED"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65F51845"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B0F56C"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DC3E85B"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FB5C6C5"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B9759FF"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8644ACD"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A967908"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29AE0A97"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4D8FECD"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B3BDEF"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18A7443"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79ADA2C"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AB0ADCA"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7080196"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931C438"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55413B09"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282A5EE"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29247740"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FF9947"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A8407D"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FBED374"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6C2CD07"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A404EBF"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019E0FC"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BD8F718"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D8C1B7F"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307D7CA"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EEE3593"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38A3666"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855B369"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AD07A24"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EA9D5C"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5A38393"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CFB7E3C"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726A9D9"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14ED2CE"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7FA1508"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005B8D6"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6690B6EB"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C632A8"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6923657"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14.1.</w:t>
      </w:r>
      <w:r>
        <w:rPr>
          <w:rFonts w:ascii="Calibri" w:hAnsi="Calibri" w:cs="Calibri"/>
          <w:color w:val="000000"/>
          <w:sz w:val="27"/>
          <w:szCs w:val="27"/>
        </w:rPr>
        <w:t> É participante desta ata o seguinte órgão pertencente à Administração Pública do Estado de Rondônia:</w:t>
      </w:r>
    </w:p>
    <w:p w14:paraId="723B833D"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DER - </w:t>
      </w:r>
      <w:r>
        <w:rPr>
          <w:rFonts w:ascii="Calibri" w:hAnsi="Calibri" w:cs="Calibri"/>
          <w:color w:val="000000"/>
          <w:sz w:val="27"/>
          <w:szCs w:val="27"/>
        </w:rPr>
        <w:t>Departamento de Estadual de Estradas de Rodagem e Transportes.</w:t>
      </w:r>
    </w:p>
    <w:p w14:paraId="7026C0FB"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C646E9"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69B1782"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6E1BF46"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D73D397"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F894F06"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1A98D18"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96AB7B" w14:textId="77777777" w:rsidR="002B4BEE" w:rsidRDefault="002B4BEE" w:rsidP="002B4B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14D1001" w14:textId="77777777" w:rsidR="00A3340B" w:rsidRPr="00A3340B" w:rsidRDefault="00A3340B" w:rsidP="00A3340B">
      <w:pPr>
        <w:spacing w:before="100" w:beforeAutospacing="1" w:after="100" w:afterAutospacing="1"/>
        <w:rPr>
          <w:color w:val="000000"/>
          <w:sz w:val="27"/>
          <w:szCs w:val="27"/>
        </w:rPr>
      </w:pPr>
      <w:r w:rsidRPr="00A3340B">
        <w:rPr>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2827</Words>
  <Characters>15606</Characters>
  <Application>Microsoft Office Word</Application>
  <DocSecurity>0</DocSecurity>
  <Lines>130</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2021-10-13T14:09:00Z</dcterms:created>
  <dcterms:modified xsi:type="dcterms:W3CDTF">2021-10-13T14:10:00Z</dcterms:modified>
</cp:coreProperties>
</file>