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49F981D"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213/2021</w:t>
      </w:r>
    </w:p>
    <w:p w14:paraId="799B31F3"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265/2021</w:t>
      </w:r>
    </w:p>
    <w:p w14:paraId="51D837EE"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w:t>
      </w:r>
      <w:hyperlink r:id="rId9" w:tgtFrame="_blank" w:history="1">
        <w:r>
          <w:rPr>
            <w:rStyle w:val="Hyperlink"/>
            <w:rFonts w:ascii="Calibri" w:eastAsiaTheme="minorEastAsia" w:hAnsi="Calibri" w:cs="Calibri"/>
            <w:sz w:val="27"/>
            <w:szCs w:val="27"/>
          </w:rPr>
          <w:t>0029.010228/2021-22</w:t>
        </w:r>
      </w:hyperlink>
    </w:p>
    <w:p w14:paraId="6EE67AA7"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AFC46AA"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bookmarkStart w:id="1" w:name="_Hlk2156551"/>
      <w:r>
        <w:rPr>
          <w:rFonts w:ascii="Calibri" w:hAnsi="Calibri" w:cs="Calibri"/>
          <w:color w:val="000000"/>
          <w:sz w:val="27"/>
          <w:szCs w:val="27"/>
        </w:rPr>
        <w:t>para futura e eventual aquisição de gêneros alimentícios (produtos perecíveis e não perecíveis) em atendimento as necessidades das Unidades Escolares Executoras da Rede Estadual de Educação,para garantir a alimentação escolar dos alunos matriculados nas Unidades Escolares da Rede Estadual de Ensino, localizadas no município de </w:t>
      </w:r>
      <w:r>
        <w:rPr>
          <w:rStyle w:val="Forte"/>
          <w:rFonts w:ascii="Calibri" w:eastAsiaTheme="majorEastAsia" w:hAnsi="Calibri" w:cs="Calibri"/>
          <w:color w:val="000000"/>
          <w:sz w:val="27"/>
          <w:szCs w:val="27"/>
        </w:rPr>
        <w:t>Espigão D'oeste e regiões.</w:t>
      </w:r>
      <w:r>
        <w:rPr>
          <w:rFonts w:ascii="Calibri" w:hAnsi="Calibri" w:cs="Calibri"/>
          <w:color w:val="000000"/>
          <w:sz w:val="27"/>
          <w:szCs w:val="27"/>
        </w:rPr>
        <w:t>, a pedido da Secretaria de Estado da Educação - SEDUC</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5B2FB41C"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01D7388"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14E60EB0"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para futura e eventual </w:t>
      </w:r>
      <w:bookmarkEnd w:id="1"/>
      <w:r>
        <w:rPr>
          <w:rFonts w:ascii="Calibri" w:hAnsi="Calibri" w:cs="Calibri"/>
          <w:color w:val="000000"/>
          <w:sz w:val="27"/>
          <w:szCs w:val="27"/>
        </w:rPr>
        <w:t>aquisição de gêneros alimentícios (produtos perecíveis e não perecíveis) em atendimento as necessidades das Unidades Escolares Executoras da Rede Estadual de Educação,para garantir a alimentação escolar dos alunos matriculados nas Unidades Escolares da Rede Estadual de Ensino, localizadas no município de </w:t>
      </w:r>
      <w:r>
        <w:rPr>
          <w:rStyle w:val="Forte"/>
          <w:rFonts w:ascii="Calibri" w:eastAsiaTheme="majorEastAsia" w:hAnsi="Calibri" w:cs="Calibri"/>
          <w:color w:val="000000"/>
          <w:sz w:val="27"/>
          <w:szCs w:val="27"/>
        </w:rPr>
        <w:t>Espigão D'oeste e regiões.</w:t>
      </w:r>
      <w:r>
        <w:rPr>
          <w:rFonts w:ascii="Calibri" w:hAnsi="Calibri" w:cs="Calibri"/>
          <w:color w:val="000000"/>
          <w:sz w:val="27"/>
          <w:szCs w:val="27"/>
        </w:rPr>
        <w:t>, a pedido da Secretaria de Estado da Educação - SEDUC</w:t>
      </w:r>
      <w:r>
        <w:rPr>
          <w:rFonts w:ascii="Calibri" w:hAnsi="Calibri" w:cs="Calibri"/>
          <w:b/>
          <w:bCs/>
          <w:color w:val="000000"/>
          <w:sz w:val="27"/>
          <w:szCs w:val="27"/>
        </w:rPr>
        <w:t>.</w:t>
      </w:r>
    </w:p>
    <w:p w14:paraId="58CE2717"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77BE7D30"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61D5807D"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56AF2489"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18196F8B"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2D8DDD2"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74C28F36"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66FD0739"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40AF23F"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02FC1AE1"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1C9FE1DD"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CA890A3"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29C19448"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02626A8C"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149E2EEA"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137A8760"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5EA8397A"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76B1E1B9"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12D5F55"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64AF13B9"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2B9483DD"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7B937F16"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O prazo de entrega é de até </w:t>
      </w:r>
      <w:r>
        <w:rPr>
          <w:rStyle w:val="Forte"/>
          <w:rFonts w:ascii="Calibri" w:eastAsiaTheme="majorEastAsia" w:hAnsi="Calibri" w:cs="Calibri"/>
          <w:color w:val="000000"/>
          <w:sz w:val="27"/>
          <w:szCs w:val="27"/>
        </w:rPr>
        <w:t>05 (cinco) dias úteis para os alimentos perecíveis e até 10 (dez) dias úteis para os alimentos não perecíveis, </w:t>
      </w:r>
      <w:r>
        <w:rPr>
          <w:rFonts w:ascii="Calibri" w:hAnsi="Calibri" w:cs="Calibri"/>
          <w:color w:val="000000"/>
          <w:sz w:val="27"/>
          <w:szCs w:val="27"/>
        </w:rPr>
        <w:t>contados a partir do primeiro dia útil após o recebimento da Ordem de Fornecimento – OF, expedida pelo Conselho Escolar, conforme a Unidade Executora solicitante (Escola).</w:t>
      </w:r>
    </w:p>
    <w:p w14:paraId="647F6BF8"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6.3.1. </w:t>
      </w:r>
      <w:r>
        <w:rPr>
          <w:rFonts w:ascii="Calibri" w:hAnsi="Calibri" w:cs="Calibri"/>
          <w:color w:val="000000"/>
          <w:sz w:val="27"/>
          <w:szCs w:val="27"/>
        </w:rPr>
        <w:t>O prazo de entrega </w:t>
      </w:r>
      <w:r>
        <w:rPr>
          <w:rStyle w:val="Forte"/>
          <w:rFonts w:ascii="Calibri" w:eastAsiaTheme="majorEastAsia" w:hAnsi="Calibri" w:cs="Calibri"/>
          <w:color w:val="000000"/>
          <w:sz w:val="27"/>
          <w:szCs w:val="27"/>
        </w:rPr>
        <w:t>somente poderá ser prorrogado</w:t>
      </w:r>
      <w:r>
        <w:rPr>
          <w:rFonts w:ascii="Calibri" w:hAnsi="Calibri" w:cs="Calibri"/>
          <w:color w:val="000000"/>
          <w:sz w:val="27"/>
          <w:szCs w:val="27"/>
        </w:rPr>
        <w:t> mediante o cumprimento, pela Contratada, dos seguintes requisitos cumulativos:</w:t>
      </w:r>
    </w:p>
    <w:p w14:paraId="075E0867"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w:t>
      </w:r>
      <w:r>
        <w:rPr>
          <w:rFonts w:ascii="Calibri" w:hAnsi="Calibri" w:cs="Calibri"/>
          <w:color w:val="000000"/>
          <w:sz w:val="27"/>
          <w:szCs w:val="27"/>
        </w:rPr>
        <w:t>solicitação de prorrogação protocolada dentro do prazo de entrega;</w:t>
      </w:r>
    </w:p>
    <w:p w14:paraId="3D74FBD5"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w:t>
      </w:r>
      <w:r>
        <w:rPr>
          <w:rFonts w:ascii="Calibri" w:hAnsi="Calibri" w:cs="Calibri"/>
          <w:color w:val="000000"/>
          <w:sz w:val="27"/>
          <w:szCs w:val="27"/>
        </w:rPr>
        <w:t>comprovação documental da ocorrência de motivo imprevisível (caso fortuito, força maior ou fato do príncipe), ocorrido depois da apresentação de sua proposta, que tenha correlação direta de causa e efeito sobre a necessidade do atraso.</w:t>
      </w:r>
    </w:p>
    <w:p w14:paraId="4BEDFEDB"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gêneros alimentícios deverão ser entregues nas Unidades Escolares, conforme endereços relacionados abaixo: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3"/>
        <w:gridCol w:w="4079"/>
        <w:gridCol w:w="4904"/>
        <w:gridCol w:w="2503"/>
      </w:tblGrid>
      <w:tr w:rsidR="007869F1" w14:paraId="46C949A3" w14:textId="77777777" w:rsidTr="007869F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45707A8"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Ordem</w:t>
            </w:r>
          </w:p>
        </w:tc>
        <w:tc>
          <w:tcPr>
            <w:tcW w:w="0" w:type="auto"/>
            <w:tcBorders>
              <w:top w:val="outset" w:sz="6" w:space="0" w:color="auto"/>
              <w:left w:val="outset" w:sz="6" w:space="0" w:color="auto"/>
              <w:bottom w:val="outset" w:sz="6" w:space="0" w:color="auto"/>
              <w:right w:val="outset" w:sz="6" w:space="0" w:color="auto"/>
            </w:tcBorders>
            <w:vAlign w:val="center"/>
            <w:hideMark/>
          </w:tcPr>
          <w:p w14:paraId="19CD6152"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Escola</w:t>
            </w:r>
          </w:p>
        </w:tc>
        <w:tc>
          <w:tcPr>
            <w:tcW w:w="0" w:type="auto"/>
            <w:tcBorders>
              <w:top w:val="outset" w:sz="6" w:space="0" w:color="auto"/>
              <w:left w:val="outset" w:sz="6" w:space="0" w:color="auto"/>
              <w:bottom w:val="outset" w:sz="6" w:space="0" w:color="auto"/>
              <w:right w:val="outset" w:sz="6" w:space="0" w:color="auto"/>
            </w:tcBorders>
            <w:vAlign w:val="center"/>
            <w:hideMark/>
          </w:tcPr>
          <w:p w14:paraId="771B3D7C"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Endereço para entrega</w:t>
            </w:r>
          </w:p>
        </w:tc>
        <w:tc>
          <w:tcPr>
            <w:tcW w:w="0" w:type="auto"/>
            <w:tcBorders>
              <w:top w:val="outset" w:sz="6" w:space="0" w:color="auto"/>
              <w:left w:val="outset" w:sz="6" w:space="0" w:color="auto"/>
              <w:bottom w:val="outset" w:sz="6" w:space="0" w:color="auto"/>
              <w:right w:val="outset" w:sz="6" w:space="0" w:color="auto"/>
            </w:tcBorders>
            <w:vAlign w:val="center"/>
            <w:hideMark/>
          </w:tcPr>
          <w:p w14:paraId="6B12AED0"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Telefone para Contato</w:t>
            </w:r>
          </w:p>
        </w:tc>
      </w:tr>
      <w:tr w:rsidR="007869F1" w14:paraId="76D016F3" w14:textId="77777777" w:rsidTr="007869F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31AD798"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27CDB2D8"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EEEF MARIA LOURENÇO CASSIANO</w:t>
            </w:r>
          </w:p>
        </w:tc>
        <w:tc>
          <w:tcPr>
            <w:tcW w:w="0" w:type="auto"/>
            <w:tcBorders>
              <w:top w:val="outset" w:sz="6" w:space="0" w:color="auto"/>
              <w:left w:val="outset" w:sz="6" w:space="0" w:color="auto"/>
              <w:bottom w:val="outset" w:sz="6" w:space="0" w:color="auto"/>
              <w:right w:val="outset" w:sz="6" w:space="0" w:color="auto"/>
            </w:tcBorders>
            <w:vAlign w:val="center"/>
            <w:hideMark/>
          </w:tcPr>
          <w:p w14:paraId="1952CD08"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Rua Rondônia nº 2371 Distrito Nova Esperança</w:t>
            </w:r>
          </w:p>
        </w:tc>
        <w:tc>
          <w:tcPr>
            <w:tcW w:w="0" w:type="auto"/>
            <w:tcBorders>
              <w:top w:val="outset" w:sz="6" w:space="0" w:color="auto"/>
              <w:left w:val="outset" w:sz="6" w:space="0" w:color="auto"/>
              <w:bottom w:val="outset" w:sz="6" w:space="0" w:color="auto"/>
              <w:right w:val="outset" w:sz="6" w:space="0" w:color="auto"/>
            </w:tcBorders>
            <w:vAlign w:val="center"/>
            <w:hideMark/>
          </w:tcPr>
          <w:p w14:paraId="1890671A"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(69) 3484 - 1068</w:t>
            </w:r>
          </w:p>
        </w:tc>
      </w:tr>
      <w:tr w:rsidR="007869F1" w14:paraId="0AAF48BB" w14:textId="77777777" w:rsidTr="007869F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80D658F"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24FDED67"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CEEJA DONIZETE ROMUALDO DA SILVA</w:t>
            </w:r>
          </w:p>
        </w:tc>
        <w:tc>
          <w:tcPr>
            <w:tcW w:w="0" w:type="auto"/>
            <w:tcBorders>
              <w:top w:val="outset" w:sz="6" w:space="0" w:color="auto"/>
              <w:left w:val="outset" w:sz="6" w:space="0" w:color="auto"/>
              <w:bottom w:val="outset" w:sz="6" w:space="0" w:color="auto"/>
              <w:right w:val="outset" w:sz="6" w:space="0" w:color="auto"/>
            </w:tcBorders>
            <w:vAlign w:val="center"/>
            <w:hideMark/>
          </w:tcPr>
          <w:p w14:paraId="3C8942B6"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Rua Espírito Santo nº 1927, Bairro Caixa D’Água</w:t>
            </w:r>
          </w:p>
        </w:tc>
        <w:tc>
          <w:tcPr>
            <w:tcW w:w="0" w:type="auto"/>
            <w:tcBorders>
              <w:top w:val="outset" w:sz="6" w:space="0" w:color="auto"/>
              <w:left w:val="outset" w:sz="6" w:space="0" w:color="auto"/>
              <w:bottom w:val="outset" w:sz="6" w:space="0" w:color="auto"/>
              <w:right w:val="outset" w:sz="6" w:space="0" w:color="auto"/>
            </w:tcBorders>
            <w:vAlign w:val="center"/>
            <w:hideMark/>
          </w:tcPr>
          <w:p w14:paraId="78D12617"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(69) 3481 - 2082</w:t>
            </w:r>
          </w:p>
        </w:tc>
      </w:tr>
      <w:tr w:rsidR="007869F1" w14:paraId="7A79485F" w14:textId="77777777" w:rsidTr="007869F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185D187"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05C3E63D"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EEEMTI 7 DE SETEMBRO</w:t>
            </w:r>
          </w:p>
        </w:tc>
        <w:tc>
          <w:tcPr>
            <w:tcW w:w="0" w:type="auto"/>
            <w:tcBorders>
              <w:top w:val="outset" w:sz="6" w:space="0" w:color="auto"/>
              <w:left w:val="outset" w:sz="6" w:space="0" w:color="auto"/>
              <w:bottom w:val="outset" w:sz="6" w:space="0" w:color="auto"/>
              <w:right w:val="outset" w:sz="6" w:space="0" w:color="auto"/>
            </w:tcBorders>
            <w:vAlign w:val="center"/>
            <w:hideMark/>
          </w:tcPr>
          <w:p w14:paraId="47645C7F"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Rua Suruí nº 2840, Bairro Centro</w:t>
            </w:r>
          </w:p>
        </w:tc>
        <w:tc>
          <w:tcPr>
            <w:tcW w:w="0" w:type="auto"/>
            <w:tcBorders>
              <w:top w:val="outset" w:sz="6" w:space="0" w:color="auto"/>
              <w:left w:val="outset" w:sz="6" w:space="0" w:color="auto"/>
              <w:bottom w:val="outset" w:sz="6" w:space="0" w:color="auto"/>
              <w:right w:val="outset" w:sz="6" w:space="0" w:color="auto"/>
            </w:tcBorders>
            <w:vAlign w:val="center"/>
            <w:hideMark/>
          </w:tcPr>
          <w:p w14:paraId="703D4B29"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(69) 3481 - 2652</w:t>
            </w:r>
          </w:p>
        </w:tc>
      </w:tr>
      <w:tr w:rsidR="007869F1" w14:paraId="2D5E7057" w14:textId="77777777" w:rsidTr="007869F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9DA54AF"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67EF6DE7"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EEEF JERRIS ADRIANI TURATTI</w:t>
            </w:r>
          </w:p>
        </w:tc>
        <w:tc>
          <w:tcPr>
            <w:tcW w:w="0" w:type="auto"/>
            <w:tcBorders>
              <w:top w:val="outset" w:sz="6" w:space="0" w:color="auto"/>
              <w:left w:val="outset" w:sz="6" w:space="0" w:color="auto"/>
              <w:bottom w:val="outset" w:sz="6" w:space="0" w:color="auto"/>
              <w:right w:val="outset" w:sz="6" w:space="0" w:color="auto"/>
            </w:tcBorders>
            <w:vAlign w:val="center"/>
            <w:hideMark/>
          </w:tcPr>
          <w:p w14:paraId="675816D3"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Rua Goiás nº 1904, Bairro Vista Alegre</w:t>
            </w:r>
          </w:p>
        </w:tc>
        <w:tc>
          <w:tcPr>
            <w:tcW w:w="0" w:type="auto"/>
            <w:tcBorders>
              <w:top w:val="outset" w:sz="6" w:space="0" w:color="auto"/>
              <w:left w:val="outset" w:sz="6" w:space="0" w:color="auto"/>
              <w:bottom w:val="outset" w:sz="6" w:space="0" w:color="auto"/>
              <w:right w:val="outset" w:sz="6" w:space="0" w:color="auto"/>
            </w:tcBorders>
            <w:vAlign w:val="center"/>
            <w:hideMark/>
          </w:tcPr>
          <w:p w14:paraId="397089AC"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(69) 3481 -3366</w:t>
            </w:r>
          </w:p>
        </w:tc>
      </w:tr>
      <w:tr w:rsidR="007869F1" w14:paraId="344B2218" w14:textId="77777777" w:rsidTr="007869F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B087FD1"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301C2FF8"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EEEF MARIA DI SANCTI SANTOS</w:t>
            </w:r>
          </w:p>
        </w:tc>
        <w:tc>
          <w:tcPr>
            <w:tcW w:w="0" w:type="auto"/>
            <w:tcBorders>
              <w:top w:val="outset" w:sz="6" w:space="0" w:color="auto"/>
              <w:left w:val="outset" w:sz="6" w:space="0" w:color="auto"/>
              <w:bottom w:val="outset" w:sz="6" w:space="0" w:color="auto"/>
              <w:right w:val="outset" w:sz="6" w:space="0" w:color="auto"/>
            </w:tcBorders>
            <w:vAlign w:val="center"/>
            <w:hideMark/>
          </w:tcPr>
          <w:p w14:paraId="44691C07"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Rua Romiporã nº 3571, Bairro Cidade Alta</w:t>
            </w:r>
          </w:p>
        </w:tc>
        <w:tc>
          <w:tcPr>
            <w:tcW w:w="0" w:type="auto"/>
            <w:tcBorders>
              <w:top w:val="outset" w:sz="6" w:space="0" w:color="auto"/>
              <w:left w:val="outset" w:sz="6" w:space="0" w:color="auto"/>
              <w:bottom w:val="outset" w:sz="6" w:space="0" w:color="auto"/>
              <w:right w:val="outset" w:sz="6" w:space="0" w:color="auto"/>
            </w:tcBorders>
            <w:vAlign w:val="center"/>
            <w:hideMark/>
          </w:tcPr>
          <w:p w14:paraId="0F6517B5"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(69) 3481 - 1746</w:t>
            </w:r>
          </w:p>
        </w:tc>
      </w:tr>
      <w:tr w:rsidR="007869F1" w14:paraId="134CBEC9" w14:textId="77777777" w:rsidTr="007869F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167B40E"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427365E9"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EEEFM JEAN PIAGET</w:t>
            </w:r>
          </w:p>
        </w:tc>
        <w:tc>
          <w:tcPr>
            <w:tcW w:w="0" w:type="auto"/>
            <w:tcBorders>
              <w:top w:val="outset" w:sz="6" w:space="0" w:color="auto"/>
              <w:left w:val="outset" w:sz="6" w:space="0" w:color="auto"/>
              <w:bottom w:val="outset" w:sz="6" w:space="0" w:color="auto"/>
              <w:right w:val="outset" w:sz="6" w:space="0" w:color="auto"/>
            </w:tcBorders>
            <w:vAlign w:val="center"/>
            <w:hideMark/>
          </w:tcPr>
          <w:p w14:paraId="601979E7"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Rua Alagoas nº 2082, Bairro Morada do Sol</w:t>
            </w:r>
          </w:p>
        </w:tc>
        <w:tc>
          <w:tcPr>
            <w:tcW w:w="0" w:type="auto"/>
            <w:tcBorders>
              <w:top w:val="outset" w:sz="6" w:space="0" w:color="auto"/>
              <w:left w:val="outset" w:sz="6" w:space="0" w:color="auto"/>
              <w:bottom w:val="outset" w:sz="6" w:space="0" w:color="auto"/>
              <w:right w:val="outset" w:sz="6" w:space="0" w:color="auto"/>
            </w:tcBorders>
            <w:vAlign w:val="center"/>
            <w:hideMark/>
          </w:tcPr>
          <w:p w14:paraId="4C668017"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(69) 3481 - 1211</w:t>
            </w:r>
          </w:p>
        </w:tc>
      </w:tr>
      <w:tr w:rsidR="007869F1" w14:paraId="11243A11" w14:textId="77777777" w:rsidTr="007869F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23FE2FD"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Style w:val="Forte"/>
                <w:rFonts w:ascii="Calibri" w:eastAsiaTheme="majorEastAsia" w:hAnsi="Calibri" w:cs="Calibri"/>
                <w:color w:val="000000"/>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67F3BFB3"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EEEF FERNANDA SOUZA DE PAULA</w:t>
            </w:r>
          </w:p>
        </w:tc>
        <w:tc>
          <w:tcPr>
            <w:tcW w:w="0" w:type="auto"/>
            <w:tcBorders>
              <w:top w:val="outset" w:sz="6" w:space="0" w:color="auto"/>
              <w:left w:val="outset" w:sz="6" w:space="0" w:color="auto"/>
              <w:bottom w:val="outset" w:sz="6" w:space="0" w:color="auto"/>
              <w:right w:val="outset" w:sz="6" w:space="0" w:color="auto"/>
            </w:tcBorders>
            <w:vAlign w:val="center"/>
            <w:hideMark/>
          </w:tcPr>
          <w:p w14:paraId="0D0E344A"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Rua São Paulo nº 3435, Bairro Liberdade</w:t>
            </w:r>
          </w:p>
        </w:tc>
        <w:tc>
          <w:tcPr>
            <w:tcW w:w="0" w:type="auto"/>
            <w:tcBorders>
              <w:top w:val="outset" w:sz="6" w:space="0" w:color="auto"/>
              <w:left w:val="outset" w:sz="6" w:space="0" w:color="auto"/>
              <w:bottom w:val="outset" w:sz="6" w:space="0" w:color="auto"/>
              <w:right w:val="outset" w:sz="6" w:space="0" w:color="auto"/>
            </w:tcBorders>
            <w:vAlign w:val="center"/>
            <w:hideMark/>
          </w:tcPr>
          <w:p w14:paraId="74F8A178"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(69) 3481 - 2249</w:t>
            </w:r>
          </w:p>
          <w:p w14:paraId="01576758" w14:textId="77777777" w:rsidR="007869F1" w:rsidRDefault="007869F1">
            <w:pPr>
              <w:pStyle w:val="textojustificado"/>
              <w:spacing w:before="120" w:beforeAutospacing="0" w:after="120" w:afterAutospacing="0"/>
              <w:ind w:left="120" w:right="120"/>
              <w:jc w:val="both"/>
              <w:rPr>
                <w:rFonts w:ascii="Calibri" w:hAnsi="Calibri" w:cs="Calibri"/>
                <w:color w:val="000000"/>
              </w:rPr>
            </w:pPr>
            <w:r>
              <w:rPr>
                <w:rFonts w:ascii="Calibri" w:hAnsi="Calibri" w:cs="Calibri"/>
                <w:color w:val="000000"/>
              </w:rPr>
              <w:t> </w:t>
            </w:r>
          </w:p>
        </w:tc>
      </w:tr>
    </w:tbl>
    <w:p w14:paraId="35D46044"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7DD7A0"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6.4.1. </w:t>
      </w:r>
      <w:r>
        <w:rPr>
          <w:rFonts w:ascii="Calibri" w:hAnsi="Calibri" w:cs="Calibri"/>
          <w:color w:val="000000"/>
          <w:sz w:val="27"/>
          <w:szCs w:val="27"/>
        </w:rPr>
        <w:t>As entregas sem agendamento somente serão aceitas, excepcionalmente, desde que não prejudique os demais recebimentos agendados, a critério das Escolas.</w:t>
      </w:r>
    </w:p>
    <w:p w14:paraId="09C5D8DD"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61D518F"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2DCE8210"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6660729B"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1D199980"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7A227A45"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17B9A0CE"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475ABC80"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EFE6724"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00C7DED2"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0EBBD2D1"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6935C11"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6E3FC9BC"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Além daquelas determinadas por leis, decretos, regulamentos e demais dispositivos legais, a CONTRATADA estará sujeita as sanções definidas neste Termo de Referência.</w:t>
      </w:r>
    </w:p>
    <w:p w14:paraId="202B1375"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Sem prejuízo das sanções cominadas no art. 87, I, III e IV, da Lei nº 8.666/93, pela inexecução total ou parcial do instrumento de contrato, a Contratante poderá, garantida a prévia e ampla defesa, aplicar à Contratada multa (Tabela – Item 20.11), sobre a parcela inadimplida do contrato.</w:t>
      </w:r>
    </w:p>
    <w:p w14:paraId="2F96212F"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Se a adjudicatária se recusar a retirar o instrumento contratual injustificadamente ou se não apresentar situação regular na ocasião dos recebimentos, garantida a prévia e ampla defesa, aplicar à Contratada multa de até 10% (dez por cento) sobre a parcela inadimplida do contrato.</w:t>
      </w:r>
    </w:p>
    <w:p w14:paraId="2D83CBF6"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w:t>
      </w:r>
      <w:r>
        <w:rPr>
          <w:rFonts w:ascii="Calibri" w:hAnsi="Calibri" w:cs="Calibri"/>
          <w:color w:val="000000"/>
          <w:sz w:val="27"/>
          <w:szCs w:val="27"/>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w:t>
      </w:r>
      <w:r>
        <w:rPr>
          <w:rFonts w:ascii="Calibri" w:hAnsi="Calibri" w:cs="Calibri"/>
          <w:color w:val="000000"/>
          <w:sz w:val="27"/>
          <w:szCs w:val="27"/>
        </w:rPr>
        <w:lastRenderedPageBreak/>
        <w:t>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34346593"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Pr>
          <w:rStyle w:val="Forte"/>
          <w:rFonts w:ascii="Calibri" w:eastAsiaTheme="majorEastAsia" w:hAnsi="Calibri" w:cs="Calibri"/>
          <w:color w:val="000000"/>
          <w:sz w:val="27"/>
          <w:szCs w:val="27"/>
        </w:rPr>
        <w:t>caso houver</w:t>
      </w:r>
      <w:r>
        <w:rPr>
          <w:rFonts w:ascii="Calibri" w:hAnsi="Calibri" w:cs="Calibri"/>
          <w:color w:val="000000"/>
          <w:sz w:val="27"/>
          <w:szCs w:val="27"/>
        </w:rPr>
        <w:t>. Mantendo-se o insucesso, seus dados serão encaminhados ao órgão competente para que seja inscrita na dívida ativa, podendo, ainda a Administração proceder à cobrança judicial.</w:t>
      </w:r>
    </w:p>
    <w:p w14:paraId="59297DA3"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27C5A9C3"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650E659F"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745D5F0C"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São exemplos de infração administrativa penalizáveis, nos termos da Lei nº 8.666, de 1993, da Lei nº 10.520, de 2002, dos Decretos Estaduais nº 12.205/06 e 12.234/06 (Pregão Eletrônico e Presencial):</w:t>
      </w:r>
    </w:p>
    <w:p w14:paraId="3D144AD7"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w:t>
      </w:r>
      <w:r>
        <w:rPr>
          <w:rFonts w:ascii="Calibri" w:hAnsi="Calibri" w:cs="Calibri"/>
          <w:color w:val="000000"/>
          <w:sz w:val="27"/>
          <w:szCs w:val="27"/>
        </w:rPr>
        <w:t>Inexecução total ou parcial do contrato;</w:t>
      </w:r>
    </w:p>
    <w:p w14:paraId="4E880122"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w:t>
      </w:r>
      <w:r>
        <w:rPr>
          <w:rFonts w:ascii="Calibri" w:hAnsi="Calibri" w:cs="Calibri"/>
          <w:color w:val="000000"/>
          <w:sz w:val="27"/>
          <w:szCs w:val="27"/>
        </w:rPr>
        <w:t>Apresentação de documentação falsa;</w:t>
      </w:r>
    </w:p>
    <w:p w14:paraId="52A045D3"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 </w:t>
      </w:r>
      <w:r>
        <w:rPr>
          <w:rFonts w:ascii="Calibri" w:hAnsi="Calibri" w:cs="Calibri"/>
          <w:color w:val="000000"/>
          <w:sz w:val="27"/>
          <w:szCs w:val="27"/>
        </w:rPr>
        <w:t>Comportamento inidôneo;</w:t>
      </w:r>
    </w:p>
    <w:p w14:paraId="69A38CA3"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d) </w:t>
      </w:r>
      <w:r>
        <w:rPr>
          <w:rFonts w:ascii="Calibri" w:hAnsi="Calibri" w:cs="Calibri"/>
          <w:color w:val="000000"/>
          <w:sz w:val="27"/>
          <w:szCs w:val="27"/>
        </w:rPr>
        <w:t>Fraude fiscal;</w:t>
      </w:r>
    </w:p>
    <w:p w14:paraId="42573304"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e) </w:t>
      </w:r>
      <w:r>
        <w:rPr>
          <w:rFonts w:ascii="Calibri" w:hAnsi="Calibri" w:cs="Calibri"/>
          <w:color w:val="000000"/>
          <w:sz w:val="27"/>
          <w:szCs w:val="27"/>
        </w:rPr>
        <w:t>Descumprimento de qualquer dos deveres elencados no Edital ou no Contrato.</w:t>
      </w:r>
    </w:p>
    <w:p w14:paraId="264CE637"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6F288393"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9.11 -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004C9611"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1525C0CD"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Após 30 (trinta) dias da falta de execução do objeto, será considerada inexecução total do contrato, o que ensejará a rescisão contratual.</w:t>
      </w:r>
    </w:p>
    <w:p w14:paraId="64623BE8"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27A12DC6"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6D65BF99"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73743309"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w:t>
      </w:r>
      <w:r>
        <w:rPr>
          <w:rFonts w:ascii="Calibri" w:hAnsi="Calibri" w:cs="Calibri"/>
          <w:color w:val="000000"/>
          <w:sz w:val="27"/>
          <w:szCs w:val="27"/>
        </w:rPr>
        <w:t>A sanção será obrigatoriamente registrada no Sistema de Cadastramento Unificado de Fornecedores - SICAF, bem como em sistemas Estaduais.</w:t>
      </w:r>
    </w:p>
    <w:p w14:paraId="4BD6D42F"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0B96E8EB"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w:t>
      </w:r>
      <w:r>
        <w:rPr>
          <w:rFonts w:ascii="Calibri" w:hAnsi="Calibri" w:cs="Calibri"/>
          <w:color w:val="000000"/>
          <w:sz w:val="27"/>
          <w:szCs w:val="27"/>
        </w:rPr>
        <w:t>Tenham sofrido condenações definitivas por praticarem, por meio dolosos, fraude fiscal no recolhimento de tributos;</w:t>
      </w:r>
    </w:p>
    <w:p w14:paraId="37722AAE"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w:t>
      </w:r>
      <w:r>
        <w:rPr>
          <w:rFonts w:ascii="Calibri" w:hAnsi="Calibri" w:cs="Calibri"/>
          <w:color w:val="000000"/>
          <w:sz w:val="27"/>
          <w:szCs w:val="27"/>
        </w:rPr>
        <w:t>Tenham praticado atos ilícitos visando a frustrar os objetivos da licitação;</w:t>
      </w:r>
    </w:p>
    <w:p w14:paraId="31DC2E9A"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 </w:t>
      </w:r>
      <w:r>
        <w:rPr>
          <w:rFonts w:ascii="Calibri" w:hAnsi="Calibri" w:cs="Calibri"/>
          <w:color w:val="000000"/>
          <w:sz w:val="27"/>
          <w:szCs w:val="27"/>
        </w:rPr>
        <w:t>Demonstrem não possuir idoneidade para contratar com a Administração em virtude de atos ilícitos praticados.</w:t>
      </w:r>
    </w:p>
    <w:p w14:paraId="66F4982B"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507E9BBC"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previstas, que poderão ser aplicadas cumulativamente.</w:t>
      </w:r>
    </w:p>
    <w:p w14:paraId="24296DA4"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9.21. </w:t>
      </w:r>
      <w:r>
        <w:rPr>
          <w:rFonts w:ascii="Calibri" w:hAnsi="Calibri" w:cs="Calibri"/>
          <w:color w:val="000000"/>
          <w:sz w:val="27"/>
          <w:szCs w:val="27"/>
        </w:rPr>
        <w:t>Nenhuma sanção será aplicada sem o devido processo administrativo, que prevê defesa prévia do interessado e recurso nos prazos definidos em Lei, sendo-lhe franqueada vista ao processo.</w:t>
      </w:r>
    </w:p>
    <w:p w14:paraId="645FE718"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9.22. </w:t>
      </w:r>
      <w:r>
        <w:rPr>
          <w:rFonts w:ascii="Calibri" w:hAnsi="Calibri" w:cs="Calibri"/>
          <w:color w:val="000000"/>
          <w:sz w:val="27"/>
          <w:szCs w:val="27"/>
        </w:rPr>
        <w:t>T</w:t>
      </w:r>
      <w:r>
        <w:rPr>
          <w:rStyle w:val="Forte"/>
          <w:rFonts w:ascii="Calibri" w:eastAsiaTheme="majorEastAsia" w:hAnsi="Calibri" w:cs="Calibri"/>
          <w:color w:val="000000"/>
          <w:sz w:val="27"/>
          <w:szCs w:val="27"/>
        </w:rPr>
        <w:t>ratando-se de sanção do art. 7° da Lei do Pregão, os seus efeitos recaem apenas na esfera administrativa do órgão que a aplicou".</w:t>
      </w:r>
    </w:p>
    <w:p w14:paraId="4E317E9A"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5BD2AF96"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3CA6FEEF"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D8EF0D0"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1FB93B2C"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01FD822"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00B35F55"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7C5CDE39"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11C62034"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8CE34B1"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19C86749"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382F0E19"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003C9FDD"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30CD9F67"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5B68FC26"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659E1BD6"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7D9EDF5E"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52EC184D"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66D2541"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643AFBF0"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45E01169"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4008C036"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2AC2B401"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A8062C8"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7A5A5304"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762FC1C7"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2129DCEA"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5E0CCCF4"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C1FA594"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551FD8AF"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1C89B13"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47F1F826"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28C9B840"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5DAE3F0C"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00B59A5C"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51EF7D95"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6BB1A5E1"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19358B7F"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6354A33"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356C4FCF"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173E8467"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SEDUC - </w:t>
      </w:r>
      <w:r>
        <w:rPr>
          <w:rFonts w:ascii="Calibri" w:hAnsi="Calibri" w:cs="Calibri"/>
          <w:color w:val="000000"/>
          <w:sz w:val="27"/>
          <w:szCs w:val="27"/>
        </w:rPr>
        <w:t>Secretaria de Estado da Educação.</w:t>
      </w:r>
    </w:p>
    <w:p w14:paraId="546A32D7"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92D50A1"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2A7AE0E5"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71271B4"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29A0EF4B"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E08CF1D"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w:t>
      </w:r>
    </w:p>
    <w:p w14:paraId="52FE4E38"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10BAD83"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1.  Edital de Licitação e seus anexos;</w:t>
      </w:r>
    </w:p>
    <w:p w14:paraId="380C3509"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2.  </w:t>
      </w:r>
      <w:r>
        <w:rPr>
          <w:rStyle w:val="Forte"/>
          <w:rFonts w:ascii="Calibri" w:eastAsiaTheme="majorEastAsia" w:hAnsi="Calibri" w:cs="Calibri"/>
          <w:color w:val="000000"/>
          <w:sz w:val="27"/>
          <w:szCs w:val="27"/>
        </w:rPr>
        <w:t>ANEXO I, </w:t>
      </w:r>
      <w:r>
        <w:rPr>
          <w:rFonts w:ascii="Calibri" w:hAnsi="Calibri" w:cs="Calibri"/>
          <w:color w:val="000000"/>
          <w:sz w:val="27"/>
          <w:szCs w:val="27"/>
        </w:rPr>
        <w:t>planilha com os preços registrados e respectivos detentores;</w:t>
      </w:r>
    </w:p>
    <w:p w14:paraId="475B67D2"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3. </w:t>
      </w:r>
      <w:r>
        <w:rPr>
          <w:rStyle w:val="Forte"/>
          <w:rFonts w:ascii="Calibri" w:eastAsiaTheme="majorEastAsia" w:hAnsi="Calibri" w:cs="Calibri"/>
          <w:color w:val="000000"/>
          <w:sz w:val="27"/>
          <w:szCs w:val="27"/>
        </w:rPr>
        <w:t>ANEXO II</w:t>
      </w:r>
      <w:r>
        <w:rPr>
          <w:rFonts w:ascii="Calibri" w:hAnsi="Calibri" w:cs="Calibri"/>
          <w:color w:val="000000"/>
          <w:sz w:val="27"/>
          <w:szCs w:val="27"/>
        </w:rPr>
        <w:t>, Registro dos licitantes que aceitaram cotar os bens ou serviços com preço iguais do licitante vencedor, na sequência da classificação do certame, formando o </w:t>
      </w:r>
      <w:r>
        <w:rPr>
          <w:rStyle w:val="Forte"/>
          <w:rFonts w:ascii="Calibri" w:eastAsiaTheme="majorEastAsia" w:hAnsi="Calibri" w:cs="Calibri"/>
          <w:color w:val="000000"/>
          <w:sz w:val="27"/>
          <w:szCs w:val="27"/>
        </w:rPr>
        <w:t>CADASTRO DE RESERVA</w:t>
      </w:r>
      <w:r>
        <w:rPr>
          <w:rFonts w:ascii="Calibri" w:hAnsi="Calibri" w:cs="Calibri"/>
          <w:color w:val="000000"/>
          <w:sz w:val="27"/>
          <w:szCs w:val="27"/>
        </w:rPr>
        <w:t>.</w:t>
      </w:r>
    </w:p>
    <w:p w14:paraId="18AAC885"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DB5900" w14:textId="77777777" w:rsidR="007869F1" w:rsidRDefault="007869F1" w:rsidP="007869F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10"/>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27440F"/>
    <w:multiLevelType w:val="multilevel"/>
    <w:tmpl w:val="7862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4B3D36"/>
    <w:multiLevelType w:val="multilevel"/>
    <w:tmpl w:val="DCBE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8"/>
    <w:lvlOverride w:ilvl="0">
      <w:startOverride w:val="2"/>
    </w:lvlOverride>
  </w:num>
  <w:num w:numId="3">
    <w:abstractNumId w:val="11"/>
    <w:lvlOverride w:ilvl="0">
      <w:startOverride w:val="3"/>
    </w:lvlOverride>
  </w:num>
  <w:num w:numId="4">
    <w:abstractNumId w:val="34"/>
    <w:lvlOverride w:ilvl="0">
      <w:startOverride w:val="4"/>
    </w:lvlOverride>
  </w:num>
  <w:num w:numId="5">
    <w:abstractNumId w:val="42"/>
    <w:lvlOverride w:ilvl="0">
      <w:startOverride w:val="5"/>
    </w:lvlOverride>
  </w:num>
  <w:num w:numId="6">
    <w:abstractNumId w:val="22"/>
    <w:lvlOverride w:ilvl="0">
      <w:startOverride w:val="6"/>
    </w:lvlOverride>
  </w:num>
  <w:num w:numId="7">
    <w:abstractNumId w:val="14"/>
    <w:lvlOverride w:ilvl="0">
      <w:startOverride w:val="7"/>
    </w:lvlOverride>
  </w:num>
  <w:num w:numId="8">
    <w:abstractNumId w:val="12"/>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5"/>
    <w:lvlOverride w:ilvl="0">
      <w:startOverride w:val="3"/>
    </w:lvlOverride>
  </w:num>
  <w:num w:numId="13">
    <w:abstractNumId w:val="13"/>
    <w:lvlOverride w:ilvl="0">
      <w:startOverride w:val="4"/>
    </w:lvlOverride>
  </w:num>
  <w:num w:numId="14">
    <w:abstractNumId w:val="2"/>
    <w:lvlOverride w:ilvl="0">
      <w:startOverride w:val="5"/>
    </w:lvlOverride>
  </w:num>
  <w:num w:numId="15">
    <w:abstractNumId w:val="44"/>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9"/>
    <w:lvlOverride w:ilvl="0">
      <w:startOverride w:val="13"/>
    </w:lvlOverride>
  </w:num>
  <w:num w:numId="23">
    <w:abstractNumId w:val="8"/>
    <w:lvlOverride w:ilvl="0">
      <w:startOverride w:val="14"/>
    </w:lvlOverride>
  </w:num>
  <w:num w:numId="24">
    <w:abstractNumId w:val="29"/>
    <w:lvlOverride w:ilvl="0">
      <w:startOverride w:val="15"/>
    </w:lvlOverride>
  </w:num>
  <w:num w:numId="25">
    <w:abstractNumId w:val="7"/>
    <w:lvlOverride w:ilvl="0">
      <w:startOverride w:val="16"/>
    </w:lvlOverride>
  </w:num>
  <w:num w:numId="26">
    <w:abstractNumId w:val="28"/>
    <w:lvlOverride w:ilvl="0">
      <w:startOverride w:val="17"/>
    </w:lvlOverride>
  </w:num>
  <w:num w:numId="27">
    <w:abstractNumId w:val="39"/>
    <w:lvlOverride w:ilvl="0">
      <w:startOverride w:val="18"/>
    </w:lvlOverride>
  </w:num>
  <w:num w:numId="28">
    <w:abstractNumId w:val="32"/>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7"/>
    <w:lvlOverride w:ilvl="0">
      <w:startOverride w:val="23"/>
    </w:lvlOverride>
  </w:num>
  <w:num w:numId="33">
    <w:abstractNumId w:val="6"/>
  </w:num>
  <w:num w:numId="34">
    <w:abstractNumId w:val="17"/>
    <w:lvlOverride w:ilvl="0">
      <w:startOverride w:val="2"/>
    </w:lvlOverride>
  </w:num>
  <w:num w:numId="35">
    <w:abstractNumId w:val="35"/>
    <w:lvlOverride w:ilvl="0">
      <w:startOverride w:val="3"/>
    </w:lvlOverride>
  </w:num>
  <w:num w:numId="36">
    <w:abstractNumId w:val="37"/>
    <w:lvlOverride w:ilvl="0">
      <w:startOverride w:val="4"/>
    </w:lvlOverride>
  </w:num>
  <w:num w:numId="37">
    <w:abstractNumId w:val="15"/>
    <w:lvlOverride w:ilvl="0">
      <w:startOverride w:val="5"/>
    </w:lvlOverride>
  </w:num>
  <w:num w:numId="38">
    <w:abstractNumId w:val="26"/>
    <w:lvlOverride w:ilvl="0">
      <w:startOverride w:val="6"/>
    </w:lvlOverride>
  </w:num>
  <w:num w:numId="39">
    <w:abstractNumId w:val="20"/>
    <w:lvlOverride w:ilvl="0">
      <w:startOverride w:val="7"/>
    </w:lvlOverride>
  </w:num>
  <w:num w:numId="40">
    <w:abstractNumId w:val="25"/>
    <w:lvlOverride w:ilvl="0">
      <w:startOverride w:val="8"/>
    </w:lvlOverride>
  </w:num>
  <w:num w:numId="41">
    <w:abstractNumId w:val="43"/>
    <w:lvlOverride w:ilvl="0">
      <w:startOverride w:val="9"/>
    </w:lvlOverride>
  </w:num>
  <w:num w:numId="42">
    <w:abstractNumId w:val="10"/>
  </w:num>
  <w:num w:numId="43">
    <w:abstractNumId w:val="16"/>
  </w:num>
  <w:num w:numId="44">
    <w:abstractNumId w:val="47"/>
  </w:num>
  <w:num w:numId="45">
    <w:abstractNumId w:val="46"/>
  </w:num>
  <w:num w:numId="46">
    <w:abstractNumId w:val="18"/>
  </w:num>
  <w:num w:numId="47">
    <w:abstractNumId w:val="36"/>
  </w:num>
  <w:num w:numId="48">
    <w:abstractNumId w:val="24"/>
  </w:num>
  <w:num w:numId="49">
    <w:abstractNumId w:val="30"/>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1558"/>
    <w:rsid w:val="002D43DC"/>
    <w:rsid w:val="002D4646"/>
    <w:rsid w:val="002D60E9"/>
    <w:rsid w:val="002E085A"/>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23D3E"/>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7448763&amp;infra_sistema=100000100&amp;infra_unidade_atual=110000213&amp;infra_hash=9a8d8caa5086260974619b5247f4b5b3d6b2b805c1ba9b98f8cb4ac43a14bba2"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3647</Words>
  <Characters>19700</Characters>
  <Application>Microsoft Office Word</Application>
  <DocSecurity>0</DocSecurity>
  <Lines>164</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2021-10-11T15:14:00Z</dcterms:created>
  <dcterms:modified xsi:type="dcterms:W3CDTF">2021-10-11T15:16:00Z</dcterms:modified>
</cp:coreProperties>
</file>