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5E56074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206/2021</w:t>
      </w:r>
    </w:p>
    <w:p w14:paraId="2562C20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239/2021</w:t>
      </w:r>
    </w:p>
    <w:p w14:paraId="58B9809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w:t>
      </w:r>
      <w:hyperlink r:id="rId9" w:tgtFrame="_blank" w:history="1">
        <w:r>
          <w:rPr>
            <w:rStyle w:val="Hyperlink"/>
            <w:rFonts w:ascii="Calibri" w:eastAsiaTheme="minorEastAsia" w:hAnsi="Calibri" w:cs="Calibri"/>
            <w:sz w:val="27"/>
            <w:szCs w:val="27"/>
          </w:rPr>
          <w:t>0029.009628/2021-95</w:t>
        </w:r>
      </w:hyperlink>
    </w:p>
    <w:p w14:paraId="5F864391"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bookmarkStart w:id="1" w:name="_Hlk2156551"/>
      <w:r>
        <w:rPr>
          <w:rFonts w:ascii="Calibri" w:hAnsi="Calibri" w:cs="Calibri"/>
          <w:color w:val="000000"/>
          <w:sz w:val="27"/>
          <w:szCs w:val="27"/>
        </w:rPr>
        <w:t>para futura e eventual aquisição de gêneros alimentícios (produtos perecíveis e não perecíveis) em atendimento as necessidades das Unidades Escolares Executoras da Rede Estadual de Educação, 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São Francisco do Guaporé </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3CDB0C69"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A77DFDA"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3D3818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Registro de Preços para futura e eventual </w:t>
      </w:r>
      <w:bookmarkEnd w:id="1"/>
      <w:r>
        <w:rPr>
          <w:rFonts w:ascii="Calibri" w:hAnsi="Calibri" w:cs="Calibri"/>
          <w:color w:val="000000"/>
          <w:sz w:val="27"/>
          <w:szCs w:val="27"/>
        </w:rPr>
        <w:t>aquisição de gêneros alimentícios (produtos perecíveis e não perecíveis) em atendimento as necessidades das Unidades Escolares Executoras da Rede Estadual de Educação, para garantir a alimentação escolar dos alunos matriculados nas Unidades Escolares da Rede Estadual de Ensino, localizadas no município de </w:t>
      </w:r>
      <w:r>
        <w:rPr>
          <w:rStyle w:val="Forte"/>
          <w:rFonts w:ascii="Calibri" w:eastAsiaTheme="majorEastAsia" w:hAnsi="Calibri" w:cs="Calibri"/>
          <w:color w:val="000000"/>
          <w:sz w:val="27"/>
          <w:szCs w:val="27"/>
        </w:rPr>
        <w:t>São Francisco do Guaporé</w:t>
      </w:r>
      <w:r>
        <w:rPr>
          <w:rFonts w:ascii="Calibri" w:hAnsi="Calibri" w:cs="Calibri"/>
          <w:color w:val="000000"/>
          <w:sz w:val="27"/>
          <w:szCs w:val="27"/>
        </w:rPr>
        <w:t>, a pedido da Secretaria de Estado da Educação - SEDUC</w:t>
      </w:r>
      <w:r>
        <w:rPr>
          <w:rFonts w:ascii="Calibri" w:hAnsi="Calibri" w:cs="Calibri"/>
          <w:b/>
          <w:bCs/>
          <w:color w:val="000000"/>
          <w:sz w:val="27"/>
          <w:szCs w:val="27"/>
        </w:rPr>
        <w:t>.</w:t>
      </w:r>
    </w:p>
    <w:p w14:paraId="041C7E3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422047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3811AA2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18B8CBF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0474C47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A253B1"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047158D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0B69D1A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59D9BB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3A6B61F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xml:space="preserve"> O preço, a quantidade, o fornecedor e a especificação do </w:t>
      </w:r>
      <w:proofErr w:type="spellStart"/>
      <w:r>
        <w:rPr>
          <w:rFonts w:ascii="Calibri" w:hAnsi="Calibri" w:cs="Calibri"/>
          <w:color w:val="000000"/>
          <w:sz w:val="27"/>
          <w:szCs w:val="27"/>
        </w:rPr>
        <w:t>ite</w:t>
      </w:r>
      <w:proofErr w:type="spellEnd"/>
      <w:r>
        <w:rPr>
          <w:rFonts w:ascii="Calibri" w:hAnsi="Calibri" w:cs="Calibri"/>
          <w:color w:val="000000"/>
          <w:sz w:val="27"/>
          <w:szCs w:val="27"/>
        </w:rPr>
        <w:t xml:space="preserve"> m registrado nesta Ata, encontram-se indicados no Anexo I deste instrumento.</w:t>
      </w:r>
    </w:p>
    <w:p w14:paraId="449B353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154BCE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7ADF6F1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68B58D49"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17FA11B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6F87994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400F871E"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2EBF5368"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CEF778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09C9391C"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07A08A2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34E1406E"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w:t>
      </w:r>
      <w:r>
        <w:rPr>
          <w:rStyle w:val="Forte"/>
          <w:rFonts w:ascii="Calibri" w:eastAsiaTheme="majorEastAsia" w:hAnsi="Calibri" w:cs="Calibri"/>
          <w:color w:val="000000"/>
          <w:sz w:val="27"/>
          <w:szCs w:val="27"/>
        </w:rPr>
        <w:t>05 (cinco) dias úteis para os alimentos perecíveis e até 10 (dez) dias úteis para os alimentos não perecíveis, </w:t>
      </w:r>
      <w:r>
        <w:rPr>
          <w:rFonts w:ascii="Calibri" w:hAnsi="Calibri" w:cs="Calibri"/>
          <w:color w:val="000000"/>
          <w:sz w:val="27"/>
          <w:szCs w:val="27"/>
        </w:rPr>
        <w:t>contados a partir do primeiro dia útil após o recebimento da Ordem de Fornecimento – OF, expedida pelo Conselho Escolar, conforme a Unidade Executora solicitante (Escola).</w:t>
      </w:r>
    </w:p>
    <w:p w14:paraId="4071874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6.3.1. </w:t>
      </w:r>
      <w:r>
        <w:rPr>
          <w:rFonts w:ascii="Calibri" w:hAnsi="Calibri" w:cs="Calibri"/>
          <w:color w:val="000000"/>
          <w:sz w:val="27"/>
          <w:szCs w:val="27"/>
        </w:rPr>
        <w:t>O prazo de entrega </w:t>
      </w:r>
      <w:r>
        <w:rPr>
          <w:rStyle w:val="Forte"/>
          <w:rFonts w:ascii="Calibri" w:eastAsiaTheme="majorEastAsia" w:hAnsi="Calibri" w:cs="Calibri"/>
          <w:color w:val="000000"/>
          <w:sz w:val="27"/>
          <w:szCs w:val="27"/>
        </w:rPr>
        <w:t>somente poderá ser prorrogado</w:t>
      </w:r>
      <w:r>
        <w:rPr>
          <w:rFonts w:ascii="Calibri" w:hAnsi="Calibri" w:cs="Calibri"/>
          <w:color w:val="000000"/>
          <w:sz w:val="27"/>
          <w:szCs w:val="27"/>
        </w:rPr>
        <w:t> mediante o cumprimento, pela Contratada, dos seguintes requisitos cumulativos:</w:t>
      </w:r>
    </w:p>
    <w:p w14:paraId="5E5F043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solicitação de prorrogação protocolada dentro do prazo de entrega;</w:t>
      </w:r>
    </w:p>
    <w:p w14:paraId="7E32450A"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comprovação documental da ocorrência de motivo imprevisível (caso fortuito, força maior ou fato do príncipe), ocorrido depois da apresentação de sua proposta, que tenha correlação direta de causa e efeito sobre a necessidade do atraso.</w:t>
      </w:r>
    </w:p>
    <w:p w14:paraId="698F894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Os gêneros alimentícios deverão ser entregues nas Unidades Escolares, conforme definidas no sub item 6.1 do Termo de Referência, parte integrante do edital e desta Ata. </w:t>
      </w:r>
    </w:p>
    <w:p w14:paraId="4291E0A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br/>
      </w:r>
      <w:r>
        <w:rPr>
          <w:rStyle w:val="Forte"/>
          <w:rFonts w:ascii="Calibri" w:eastAsiaTheme="majorEastAsia" w:hAnsi="Calibri" w:cs="Calibri"/>
          <w:color w:val="000000"/>
        </w:rPr>
        <w:t>6.4.1. </w:t>
      </w:r>
      <w:r>
        <w:rPr>
          <w:rFonts w:ascii="Calibri" w:hAnsi="Calibri" w:cs="Calibri"/>
          <w:color w:val="000000"/>
        </w:rPr>
        <w:t>As entregas sem agendamento somente serão aceitas, excepcionalmente, desde que não prejudique os demais recebimentos agendados, a critério das Escolas.</w:t>
      </w:r>
    </w:p>
    <w:p w14:paraId="71633BAE"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F56F1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10B34FA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4A025C2E"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57972D3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5DAFB03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3808F2A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4A517FA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39B1019"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5EC54E2C"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5254C59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92C7F3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5B18CFD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Além daquelas determinadas por leis, decretos, regulamentos e demais dispositivos legais, a CONTRATADA estará sujeita as sanções definidas neste Termo de Referência.</w:t>
      </w:r>
    </w:p>
    <w:p w14:paraId="61E994A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Sem prejuízo das sanções cominadas no art. 87, I, III e IV, da Lei nº 8.666/93, pela inexecução total ou parcial do instrumento de contrato, a Contratante poderá, garantida a prévia e ampla defesa, aplicar à Contratada multa (Tabela – Item 20.11), sobre a parcela inadimplida do contrato.</w:t>
      </w:r>
    </w:p>
    <w:p w14:paraId="58F819E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9.3. </w:t>
      </w:r>
      <w:r>
        <w:rPr>
          <w:rFonts w:ascii="Calibri" w:hAnsi="Calibri" w:cs="Calibri"/>
          <w:color w:val="000000"/>
          <w:sz w:val="27"/>
          <w:szCs w:val="27"/>
        </w:rPr>
        <w:t>Se a adjudicatária se recusar a retirar o instrumento contratual injustificadamente ou se não apresentar situação regular na ocasião dos recebimentos, garantida a prévia e ampla defesa, aplicar à Contratada multa de até 10% (dez por cento) sobre a parcela inadimplida do contrato.</w:t>
      </w:r>
    </w:p>
    <w:p w14:paraId="4106102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CAGEFIMP (Cadastro Estadual de Fornecedores Impedidos de Licitar).</w:t>
      </w:r>
    </w:p>
    <w:p w14:paraId="20A67738"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w:t>
      </w:r>
      <w:r>
        <w:rPr>
          <w:rStyle w:val="Forte"/>
          <w:rFonts w:ascii="Calibri" w:eastAsiaTheme="majorEastAsia" w:hAnsi="Calibri" w:cs="Calibri"/>
          <w:color w:val="000000"/>
          <w:sz w:val="27"/>
          <w:szCs w:val="27"/>
        </w:rPr>
        <w:t>caso houver</w:t>
      </w:r>
      <w:r>
        <w:rPr>
          <w:rFonts w:ascii="Calibri" w:hAnsi="Calibri" w:cs="Calibri"/>
          <w:color w:val="000000"/>
          <w:sz w:val="27"/>
          <w:szCs w:val="27"/>
        </w:rPr>
        <w:t>. Mantendo-se o insucesso, seus dados serão encaminhados ao órgão competente para que seja inscrita na dívida ativa, podendo, ainda a Administração proceder à cobrança judicial.</w:t>
      </w:r>
    </w:p>
    <w:p w14:paraId="2D386B0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686E8A3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73B8387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9.8. 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7D5A1B31"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9.9. </w:t>
      </w:r>
      <w:r>
        <w:rPr>
          <w:rFonts w:ascii="Calibri" w:hAnsi="Calibri" w:cs="Calibri"/>
          <w:color w:val="000000"/>
          <w:sz w:val="27"/>
          <w:szCs w:val="27"/>
        </w:rPr>
        <w:t>São exemplos de infração administrativa penalizáveis, nos termos da Lei nº 8.666, de 1993, da Lei nº 10.520, de 2002, dos Decretos Estaduais nº 12.205/06 e 12.234/06 (Pregão Eletrônico e Presencial):</w:t>
      </w:r>
    </w:p>
    <w:p w14:paraId="04D22668"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Inexecução total ou parcial do contrato;</w:t>
      </w:r>
    </w:p>
    <w:p w14:paraId="0D18242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Apresentação de documentação falsa;</w:t>
      </w:r>
    </w:p>
    <w:p w14:paraId="722F7A6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Comportamento inidôneo;</w:t>
      </w:r>
    </w:p>
    <w:p w14:paraId="2277AEE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d) </w:t>
      </w:r>
      <w:r>
        <w:rPr>
          <w:rFonts w:ascii="Calibri" w:hAnsi="Calibri" w:cs="Calibri"/>
          <w:color w:val="000000"/>
          <w:sz w:val="27"/>
          <w:szCs w:val="27"/>
        </w:rPr>
        <w:t>Fraude fiscal;</w:t>
      </w:r>
    </w:p>
    <w:p w14:paraId="647D22D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e) </w:t>
      </w:r>
      <w:r>
        <w:rPr>
          <w:rFonts w:ascii="Calibri" w:hAnsi="Calibri" w:cs="Calibri"/>
          <w:color w:val="000000"/>
          <w:sz w:val="27"/>
          <w:szCs w:val="27"/>
        </w:rPr>
        <w:t>Descumprimento de qualquer dos deveres elencados no Edital ou no Contrato.</w:t>
      </w:r>
    </w:p>
    <w:p w14:paraId="2FAE6CE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519552E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689A587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044079F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w:t>
      </w:r>
      <w:r>
        <w:rPr>
          <w:rFonts w:ascii="Calibri" w:hAnsi="Calibri" w:cs="Calibri"/>
          <w:color w:val="000000"/>
          <w:sz w:val="27"/>
          <w:szCs w:val="27"/>
        </w:rPr>
        <w:t>Após 30 (trinta) dias da falta de execução do objeto, será considerada inexecução total do contrato, o que ensejará a rescisão contratual.</w:t>
      </w:r>
    </w:p>
    <w:p w14:paraId="3893BD11"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16C901D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3857F4E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215A7E4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w:t>
      </w:r>
      <w:r>
        <w:rPr>
          <w:rFonts w:ascii="Calibri" w:hAnsi="Calibri" w:cs="Calibri"/>
          <w:color w:val="000000"/>
          <w:sz w:val="27"/>
          <w:szCs w:val="27"/>
        </w:rPr>
        <w:t>A sanção será obrigatoriamente registrada no Sistema de Cadastramento Unificado de Fornecedores - SICAF, bem como em sistemas Estaduais.</w:t>
      </w:r>
    </w:p>
    <w:p w14:paraId="27AA82FE"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9.18. 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53701C0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 </w:t>
      </w:r>
      <w:r>
        <w:rPr>
          <w:rFonts w:ascii="Calibri" w:hAnsi="Calibri" w:cs="Calibri"/>
          <w:color w:val="000000"/>
          <w:sz w:val="27"/>
          <w:szCs w:val="27"/>
        </w:rPr>
        <w:t>Tenham sofrido condenações definitivas por praticarem, por meio dolosos, fraude fiscal no recolhimento de tributos;</w:t>
      </w:r>
    </w:p>
    <w:p w14:paraId="0EEFCC2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b) </w:t>
      </w:r>
      <w:r>
        <w:rPr>
          <w:rFonts w:ascii="Calibri" w:hAnsi="Calibri" w:cs="Calibri"/>
          <w:color w:val="000000"/>
          <w:sz w:val="27"/>
          <w:szCs w:val="27"/>
        </w:rPr>
        <w:t>Tenham praticado atos ilícitos visando a frustrar os objetivos da licitação;</w:t>
      </w:r>
    </w:p>
    <w:p w14:paraId="2078A47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c) </w:t>
      </w:r>
      <w:r>
        <w:rPr>
          <w:rFonts w:ascii="Calibri" w:hAnsi="Calibri" w:cs="Calibri"/>
          <w:color w:val="000000"/>
          <w:sz w:val="27"/>
          <w:szCs w:val="27"/>
        </w:rPr>
        <w:t>Demonstrem não possuir idoneidade para contratar com a Administração em virtude de atos ilícitos praticados.</w:t>
      </w:r>
    </w:p>
    <w:p w14:paraId="4F49C24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9.19. </w:t>
      </w:r>
      <w:r>
        <w:rPr>
          <w:rFonts w:ascii="Calibri" w:hAnsi="Calibri" w:cs="Calibri"/>
          <w:color w:val="000000"/>
          <w:sz w:val="27"/>
          <w:szCs w:val="27"/>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14:paraId="5BAE998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9.20. </w:t>
      </w:r>
      <w:r>
        <w:rPr>
          <w:rFonts w:ascii="Calibri" w:hAnsi="Calibri" w:cs="Calibri"/>
          <w:color w:val="000000"/>
          <w:sz w:val="27"/>
          <w:szCs w:val="27"/>
        </w:rPr>
        <w:t>Na hipótese de apresentar documentação inverossímil ou de cometer fraude, o licitante poderá sofrer sem prejuízo da comunicação do ocorrido ao Ministério Público, quaisquer das sanções previstas, que poderão ser aplicadas cumulativamente.</w:t>
      </w:r>
    </w:p>
    <w:p w14:paraId="544475F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9.21. </w:t>
      </w:r>
      <w:r>
        <w:rPr>
          <w:rFonts w:ascii="Calibri" w:hAnsi="Calibri" w:cs="Calibri"/>
          <w:color w:val="000000"/>
          <w:sz w:val="27"/>
          <w:szCs w:val="27"/>
        </w:rPr>
        <w:t>Nenhuma sanção será aplicada sem o devido processo administrativo, que prevê defesa prévia do interessado e recurso nos prazos definidos em Lei, sendo-lhe franqueada vista ao processo.</w:t>
      </w:r>
    </w:p>
    <w:p w14:paraId="616E0E6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9.22. </w:t>
      </w:r>
      <w:r>
        <w:rPr>
          <w:rFonts w:ascii="Calibri" w:hAnsi="Calibri" w:cs="Calibri"/>
          <w:color w:val="000000"/>
          <w:sz w:val="27"/>
          <w:szCs w:val="27"/>
        </w:rPr>
        <w:t>T</w:t>
      </w:r>
      <w:r>
        <w:rPr>
          <w:rStyle w:val="Forte"/>
          <w:rFonts w:ascii="Calibri" w:eastAsiaTheme="majorEastAsia" w:hAnsi="Calibri" w:cs="Calibri"/>
          <w:color w:val="000000"/>
          <w:sz w:val="27"/>
          <w:szCs w:val="27"/>
        </w:rPr>
        <w:t>ratando-se de sanção do art. 7° da Lei do Pregão, os seus efeitos recaem apenas na esfera administrativa do órgão que a aplicou".</w:t>
      </w:r>
    </w:p>
    <w:p w14:paraId="562B231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FEE007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7895EB7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2A78151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BCD145A"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65929F1A"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44EEA38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120542C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10.6.</w:t>
      </w:r>
      <w:r>
        <w:rPr>
          <w:rFonts w:ascii="Calibri" w:hAnsi="Calibri" w:cs="Calibri"/>
          <w:color w:val="000000"/>
          <w:sz w:val="27"/>
          <w:szCs w:val="27"/>
        </w:rPr>
        <w:t> Caberá ao órgão que se utilizar da ata, verificar a vantagem econômica da adesão a este Registro de Preço.</w:t>
      </w:r>
    </w:p>
    <w:p w14:paraId="6EDF64A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24E90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220D932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7DD2390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04E355F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20654E5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697ABA7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244F574C"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12D4B4B6"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0525632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659185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2306DD21"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595DFE9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05FC211A"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348E91C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C7C378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246ABF3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2E354E0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4E00631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FE5B0A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9B623CD"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4B88272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528EB5"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17398E8C"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161E4DB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2397B8C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0E9766BC"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13.4.</w:t>
      </w:r>
      <w:r>
        <w:rPr>
          <w:rFonts w:ascii="Calibri" w:hAnsi="Calibri" w:cs="Calibri"/>
          <w:color w:val="000000"/>
          <w:sz w:val="27"/>
          <w:szCs w:val="27"/>
        </w:rPr>
        <w:t> Efetuar o pagamento à(s) contratada(s) de acordo com as condições de preços e prazos estabelecidos no edital e ata de registro de preços</w:t>
      </w:r>
    </w:p>
    <w:p w14:paraId="614CEAA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5ED1DC08"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33F30BEE"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E1D67F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1929C1DA"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71FE833C"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SEDUC - </w:t>
      </w:r>
      <w:r>
        <w:rPr>
          <w:rFonts w:ascii="Calibri" w:hAnsi="Calibri" w:cs="Calibri"/>
          <w:color w:val="000000"/>
          <w:sz w:val="27"/>
          <w:szCs w:val="27"/>
        </w:rPr>
        <w:t>Secretaria de Estado da Educação.</w:t>
      </w:r>
    </w:p>
    <w:p w14:paraId="4BFD9A18"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B0D69F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CA68A50"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0C14DC48"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175378FF"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78558302"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w:t>
      </w:r>
    </w:p>
    <w:p w14:paraId="038FE2A9"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1F7157B"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1.  Edital de Licitação e seus anexos;</w:t>
      </w:r>
    </w:p>
    <w:p w14:paraId="3EFFF057"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2.  </w:t>
      </w:r>
      <w:r>
        <w:rPr>
          <w:rStyle w:val="Forte"/>
          <w:rFonts w:ascii="Calibri" w:eastAsiaTheme="majorEastAsia" w:hAnsi="Calibri" w:cs="Calibri"/>
          <w:color w:val="000000"/>
          <w:sz w:val="27"/>
          <w:szCs w:val="27"/>
        </w:rPr>
        <w:t>ANEXO I, </w:t>
      </w:r>
      <w:r>
        <w:rPr>
          <w:rFonts w:ascii="Calibri" w:hAnsi="Calibri" w:cs="Calibri"/>
          <w:color w:val="000000"/>
          <w:sz w:val="27"/>
          <w:szCs w:val="27"/>
        </w:rPr>
        <w:t>planilha com os preços registrados e respectivos detentores;</w:t>
      </w:r>
    </w:p>
    <w:p w14:paraId="7BB41F94"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82C7923" w14:textId="77777777" w:rsidR="00FC0C1D" w:rsidRDefault="00FC0C1D" w:rsidP="00FC0C1D">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10"/>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B953E8"/>
    <w:multiLevelType w:val="multilevel"/>
    <w:tmpl w:val="634494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4D5114C"/>
    <w:multiLevelType w:val="multilevel"/>
    <w:tmpl w:val="6E5C381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69E1945"/>
    <w:multiLevelType w:val="multilevel"/>
    <w:tmpl w:val="51AC95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7F33873"/>
    <w:multiLevelType w:val="multilevel"/>
    <w:tmpl w:val="96467F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83A5090"/>
    <w:multiLevelType w:val="multilevel"/>
    <w:tmpl w:val="D4D46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9F23297"/>
    <w:multiLevelType w:val="multilevel"/>
    <w:tmpl w:val="0A76BC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A3B270A"/>
    <w:multiLevelType w:val="multilevel"/>
    <w:tmpl w:val="ABBE1D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DB33057"/>
    <w:multiLevelType w:val="multilevel"/>
    <w:tmpl w:val="67BE538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1127440F"/>
    <w:multiLevelType w:val="multilevel"/>
    <w:tmpl w:val="7862B8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E6E10DA"/>
    <w:multiLevelType w:val="multilevel"/>
    <w:tmpl w:val="4BCE76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F0121B"/>
    <w:multiLevelType w:val="multilevel"/>
    <w:tmpl w:val="8914689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33D13C7"/>
    <w:multiLevelType w:val="multilevel"/>
    <w:tmpl w:val="E5822A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43B2587"/>
    <w:multiLevelType w:val="multilevel"/>
    <w:tmpl w:val="B824EA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26890979"/>
    <w:multiLevelType w:val="multilevel"/>
    <w:tmpl w:val="3102A3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27425163"/>
    <w:multiLevelType w:val="multilevel"/>
    <w:tmpl w:val="20F004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EB21AEB"/>
    <w:multiLevelType w:val="multilevel"/>
    <w:tmpl w:val="9F76E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2B349BF"/>
    <w:multiLevelType w:val="multilevel"/>
    <w:tmpl w:val="C57A6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2DB38AA"/>
    <w:multiLevelType w:val="multilevel"/>
    <w:tmpl w:val="1C2644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4CE09BA"/>
    <w:multiLevelType w:val="multilevel"/>
    <w:tmpl w:val="C0C288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54727AE"/>
    <w:multiLevelType w:val="multilevel"/>
    <w:tmpl w:val="E3FE2A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3A383424"/>
    <w:multiLevelType w:val="multilevel"/>
    <w:tmpl w:val="0F8CB9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B1C6644"/>
    <w:multiLevelType w:val="multilevel"/>
    <w:tmpl w:val="060EC96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3C3B5E72"/>
    <w:multiLevelType w:val="multilevel"/>
    <w:tmpl w:val="14BCDA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E74645"/>
    <w:multiLevelType w:val="multilevel"/>
    <w:tmpl w:val="026092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1E23331"/>
    <w:multiLevelType w:val="multilevel"/>
    <w:tmpl w:val="49745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436A03EA"/>
    <w:multiLevelType w:val="multilevel"/>
    <w:tmpl w:val="D17C3FA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6847E5B"/>
    <w:multiLevelType w:val="multilevel"/>
    <w:tmpl w:val="688C20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46D64523"/>
    <w:multiLevelType w:val="multilevel"/>
    <w:tmpl w:val="23D027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4E374746"/>
    <w:multiLevelType w:val="multilevel"/>
    <w:tmpl w:val="F8C2C7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34B3D36"/>
    <w:multiLevelType w:val="multilevel"/>
    <w:tmpl w:val="DCBE04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6943969"/>
    <w:multiLevelType w:val="multilevel"/>
    <w:tmpl w:val="65DC27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57F22FE3"/>
    <w:multiLevelType w:val="multilevel"/>
    <w:tmpl w:val="CC3258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9A6008D"/>
    <w:multiLevelType w:val="multilevel"/>
    <w:tmpl w:val="C0809AA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5A414B2D"/>
    <w:multiLevelType w:val="multilevel"/>
    <w:tmpl w:val="848EA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CE92F52"/>
    <w:multiLevelType w:val="multilevel"/>
    <w:tmpl w:val="47DAF5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E774C31"/>
    <w:multiLevelType w:val="multilevel"/>
    <w:tmpl w:val="5B54F9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5F200EE6"/>
    <w:multiLevelType w:val="multilevel"/>
    <w:tmpl w:val="A246C9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65A5308B"/>
    <w:multiLevelType w:val="multilevel"/>
    <w:tmpl w:val="28360D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65FB1D97"/>
    <w:multiLevelType w:val="multilevel"/>
    <w:tmpl w:val="9E1649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DF7762E"/>
    <w:multiLevelType w:val="multilevel"/>
    <w:tmpl w:val="404273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1" w15:restartNumberingAfterBreak="0">
    <w:nsid w:val="6E6149D1"/>
    <w:multiLevelType w:val="multilevel"/>
    <w:tmpl w:val="2CBCA4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25B5B7E"/>
    <w:multiLevelType w:val="multilevel"/>
    <w:tmpl w:val="77929C0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3EE46A9"/>
    <w:multiLevelType w:val="multilevel"/>
    <w:tmpl w:val="FC8AE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74745C49"/>
    <w:multiLevelType w:val="multilevel"/>
    <w:tmpl w:val="497801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5" w15:restartNumberingAfterBreak="0">
    <w:nsid w:val="74EC42B5"/>
    <w:multiLevelType w:val="multilevel"/>
    <w:tmpl w:val="966408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76031F3D"/>
    <w:multiLevelType w:val="multilevel"/>
    <w:tmpl w:val="572E03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6125E4E"/>
    <w:multiLevelType w:val="multilevel"/>
    <w:tmpl w:val="299C8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771661E2"/>
    <w:multiLevelType w:val="multilevel"/>
    <w:tmpl w:val="DBEEEE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7A4D3AE7"/>
    <w:multiLevelType w:val="multilevel"/>
    <w:tmpl w:val="CF6274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7EA3743D"/>
    <w:multiLevelType w:val="multilevel"/>
    <w:tmpl w:val="48A207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33"/>
  </w:num>
  <w:num w:numId="2">
    <w:abstractNumId w:val="38"/>
    <w:lvlOverride w:ilvl="0">
      <w:startOverride w:val="2"/>
    </w:lvlOverride>
  </w:num>
  <w:num w:numId="3">
    <w:abstractNumId w:val="11"/>
    <w:lvlOverride w:ilvl="0">
      <w:startOverride w:val="3"/>
    </w:lvlOverride>
  </w:num>
  <w:num w:numId="4">
    <w:abstractNumId w:val="34"/>
    <w:lvlOverride w:ilvl="0">
      <w:startOverride w:val="4"/>
    </w:lvlOverride>
  </w:num>
  <w:num w:numId="5">
    <w:abstractNumId w:val="42"/>
    <w:lvlOverride w:ilvl="0">
      <w:startOverride w:val="5"/>
    </w:lvlOverride>
  </w:num>
  <w:num w:numId="6">
    <w:abstractNumId w:val="22"/>
    <w:lvlOverride w:ilvl="0">
      <w:startOverride w:val="6"/>
    </w:lvlOverride>
  </w:num>
  <w:num w:numId="7">
    <w:abstractNumId w:val="14"/>
    <w:lvlOverride w:ilvl="0">
      <w:startOverride w:val="7"/>
    </w:lvlOverride>
  </w:num>
  <w:num w:numId="8">
    <w:abstractNumId w:val="12"/>
    <w:lvlOverride w:ilvl="0">
      <w:startOverride w:val="8"/>
    </w:lvlOverride>
  </w:num>
  <w:num w:numId="9">
    <w:abstractNumId w:val="1"/>
    <w:lvlOverride w:ilvl="0">
      <w:startOverride w:val="9"/>
    </w:lvlOverride>
  </w:num>
  <w:num w:numId="10">
    <w:abstractNumId w:val="48"/>
  </w:num>
  <w:num w:numId="11">
    <w:abstractNumId w:val="21"/>
    <w:lvlOverride w:ilvl="0">
      <w:startOverride w:val="2"/>
    </w:lvlOverride>
  </w:num>
  <w:num w:numId="12">
    <w:abstractNumId w:val="45"/>
    <w:lvlOverride w:ilvl="0">
      <w:startOverride w:val="3"/>
    </w:lvlOverride>
  </w:num>
  <w:num w:numId="13">
    <w:abstractNumId w:val="13"/>
    <w:lvlOverride w:ilvl="0">
      <w:startOverride w:val="4"/>
    </w:lvlOverride>
  </w:num>
  <w:num w:numId="14">
    <w:abstractNumId w:val="2"/>
    <w:lvlOverride w:ilvl="0">
      <w:startOverride w:val="5"/>
    </w:lvlOverride>
  </w:num>
  <w:num w:numId="15">
    <w:abstractNumId w:val="44"/>
    <w:lvlOverride w:ilvl="0">
      <w:startOverride w:val="6"/>
    </w:lvlOverride>
  </w:num>
  <w:num w:numId="16">
    <w:abstractNumId w:val="31"/>
    <w:lvlOverride w:ilvl="0">
      <w:startOverride w:val="7"/>
    </w:lvlOverride>
  </w:num>
  <w:num w:numId="17">
    <w:abstractNumId w:val="50"/>
    <w:lvlOverride w:ilvl="0">
      <w:startOverride w:val="8"/>
    </w:lvlOverride>
  </w:num>
  <w:num w:numId="18">
    <w:abstractNumId w:val="40"/>
    <w:lvlOverride w:ilvl="0">
      <w:startOverride w:val="9"/>
    </w:lvlOverride>
  </w:num>
  <w:num w:numId="19">
    <w:abstractNumId w:val="23"/>
    <w:lvlOverride w:ilvl="0">
      <w:startOverride w:val="10"/>
    </w:lvlOverride>
  </w:num>
  <w:num w:numId="20">
    <w:abstractNumId w:val="3"/>
    <w:lvlOverride w:ilvl="0">
      <w:startOverride w:val="11"/>
    </w:lvlOverride>
  </w:num>
  <w:num w:numId="21">
    <w:abstractNumId w:val="49"/>
    <w:lvlOverride w:ilvl="0">
      <w:startOverride w:val="12"/>
    </w:lvlOverride>
  </w:num>
  <w:num w:numId="22">
    <w:abstractNumId w:val="19"/>
    <w:lvlOverride w:ilvl="0">
      <w:startOverride w:val="13"/>
    </w:lvlOverride>
  </w:num>
  <w:num w:numId="23">
    <w:abstractNumId w:val="8"/>
    <w:lvlOverride w:ilvl="0">
      <w:startOverride w:val="14"/>
    </w:lvlOverride>
  </w:num>
  <w:num w:numId="24">
    <w:abstractNumId w:val="29"/>
    <w:lvlOverride w:ilvl="0">
      <w:startOverride w:val="15"/>
    </w:lvlOverride>
  </w:num>
  <w:num w:numId="25">
    <w:abstractNumId w:val="7"/>
    <w:lvlOverride w:ilvl="0">
      <w:startOverride w:val="16"/>
    </w:lvlOverride>
  </w:num>
  <w:num w:numId="26">
    <w:abstractNumId w:val="28"/>
    <w:lvlOverride w:ilvl="0">
      <w:startOverride w:val="17"/>
    </w:lvlOverride>
  </w:num>
  <w:num w:numId="27">
    <w:abstractNumId w:val="39"/>
    <w:lvlOverride w:ilvl="0">
      <w:startOverride w:val="18"/>
    </w:lvlOverride>
  </w:num>
  <w:num w:numId="28">
    <w:abstractNumId w:val="32"/>
    <w:lvlOverride w:ilvl="0">
      <w:startOverride w:val="19"/>
    </w:lvlOverride>
  </w:num>
  <w:num w:numId="29">
    <w:abstractNumId w:val="5"/>
    <w:lvlOverride w:ilvl="0">
      <w:startOverride w:val="20"/>
    </w:lvlOverride>
  </w:num>
  <w:num w:numId="30">
    <w:abstractNumId w:val="41"/>
    <w:lvlOverride w:ilvl="0">
      <w:startOverride w:val="21"/>
    </w:lvlOverride>
  </w:num>
  <w:num w:numId="31">
    <w:abstractNumId w:val="4"/>
    <w:lvlOverride w:ilvl="0">
      <w:startOverride w:val="22"/>
    </w:lvlOverride>
  </w:num>
  <w:num w:numId="32">
    <w:abstractNumId w:val="27"/>
    <w:lvlOverride w:ilvl="0">
      <w:startOverride w:val="23"/>
    </w:lvlOverride>
  </w:num>
  <w:num w:numId="33">
    <w:abstractNumId w:val="6"/>
  </w:num>
  <w:num w:numId="34">
    <w:abstractNumId w:val="17"/>
    <w:lvlOverride w:ilvl="0">
      <w:startOverride w:val="2"/>
    </w:lvlOverride>
  </w:num>
  <w:num w:numId="35">
    <w:abstractNumId w:val="35"/>
    <w:lvlOverride w:ilvl="0">
      <w:startOverride w:val="3"/>
    </w:lvlOverride>
  </w:num>
  <w:num w:numId="36">
    <w:abstractNumId w:val="37"/>
    <w:lvlOverride w:ilvl="0">
      <w:startOverride w:val="4"/>
    </w:lvlOverride>
  </w:num>
  <w:num w:numId="37">
    <w:abstractNumId w:val="15"/>
    <w:lvlOverride w:ilvl="0">
      <w:startOverride w:val="5"/>
    </w:lvlOverride>
  </w:num>
  <w:num w:numId="38">
    <w:abstractNumId w:val="26"/>
    <w:lvlOverride w:ilvl="0">
      <w:startOverride w:val="6"/>
    </w:lvlOverride>
  </w:num>
  <w:num w:numId="39">
    <w:abstractNumId w:val="20"/>
    <w:lvlOverride w:ilvl="0">
      <w:startOverride w:val="7"/>
    </w:lvlOverride>
  </w:num>
  <w:num w:numId="40">
    <w:abstractNumId w:val="25"/>
    <w:lvlOverride w:ilvl="0">
      <w:startOverride w:val="8"/>
    </w:lvlOverride>
  </w:num>
  <w:num w:numId="41">
    <w:abstractNumId w:val="43"/>
    <w:lvlOverride w:ilvl="0">
      <w:startOverride w:val="9"/>
    </w:lvlOverride>
  </w:num>
  <w:num w:numId="42">
    <w:abstractNumId w:val="10"/>
  </w:num>
  <w:num w:numId="43">
    <w:abstractNumId w:val="16"/>
  </w:num>
  <w:num w:numId="44">
    <w:abstractNumId w:val="47"/>
  </w:num>
  <w:num w:numId="45">
    <w:abstractNumId w:val="46"/>
  </w:num>
  <w:num w:numId="46">
    <w:abstractNumId w:val="18"/>
  </w:num>
  <w:num w:numId="47">
    <w:abstractNumId w:val="36"/>
  </w:num>
  <w:num w:numId="48">
    <w:abstractNumId w:val="24"/>
  </w:num>
  <w:num w:numId="49">
    <w:abstractNumId w:val="30"/>
  </w:num>
  <w:num w:numId="5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C3"/>
    <w:rsid w:val="00090BEE"/>
    <w:rsid w:val="0009208F"/>
    <w:rsid w:val="000935FA"/>
    <w:rsid w:val="00093A3A"/>
    <w:rsid w:val="00096DE2"/>
    <w:rsid w:val="000A160C"/>
    <w:rsid w:val="000A2283"/>
    <w:rsid w:val="000A2F6A"/>
    <w:rsid w:val="000A6C06"/>
    <w:rsid w:val="000A6D1C"/>
    <w:rsid w:val="000A7726"/>
    <w:rsid w:val="000B1908"/>
    <w:rsid w:val="000B2688"/>
    <w:rsid w:val="000B3453"/>
    <w:rsid w:val="000B3827"/>
    <w:rsid w:val="000B7916"/>
    <w:rsid w:val="000C0E03"/>
    <w:rsid w:val="000C3011"/>
    <w:rsid w:val="000C6CDD"/>
    <w:rsid w:val="000D04E2"/>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B1530"/>
    <w:rsid w:val="002B37D9"/>
    <w:rsid w:val="002B5727"/>
    <w:rsid w:val="002B5A0D"/>
    <w:rsid w:val="002B736B"/>
    <w:rsid w:val="002C0603"/>
    <w:rsid w:val="002C214A"/>
    <w:rsid w:val="002C5AC0"/>
    <w:rsid w:val="002D01BF"/>
    <w:rsid w:val="002D1558"/>
    <w:rsid w:val="002D43DC"/>
    <w:rsid w:val="002D4646"/>
    <w:rsid w:val="002D60E9"/>
    <w:rsid w:val="002E300A"/>
    <w:rsid w:val="002E498D"/>
    <w:rsid w:val="002F2335"/>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F96"/>
    <w:rsid w:val="0032253C"/>
    <w:rsid w:val="0032367C"/>
    <w:rsid w:val="00323749"/>
    <w:rsid w:val="00323D3E"/>
    <w:rsid w:val="00332C8C"/>
    <w:rsid w:val="0033365D"/>
    <w:rsid w:val="00333AAB"/>
    <w:rsid w:val="00334F76"/>
    <w:rsid w:val="00336E30"/>
    <w:rsid w:val="003425A5"/>
    <w:rsid w:val="00345C03"/>
    <w:rsid w:val="00347658"/>
    <w:rsid w:val="003537BB"/>
    <w:rsid w:val="00353EAF"/>
    <w:rsid w:val="003540CB"/>
    <w:rsid w:val="00354314"/>
    <w:rsid w:val="003562C2"/>
    <w:rsid w:val="00361FE3"/>
    <w:rsid w:val="003645F7"/>
    <w:rsid w:val="003659F4"/>
    <w:rsid w:val="00371417"/>
    <w:rsid w:val="003721B4"/>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7E48"/>
    <w:rsid w:val="004711F6"/>
    <w:rsid w:val="004741FB"/>
    <w:rsid w:val="004850D0"/>
    <w:rsid w:val="004869B4"/>
    <w:rsid w:val="0048752A"/>
    <w:rsid w:val="0049023D"/>
    <w:rsid w:val="00490488"/>
    <w:rsid w:val="004925D2"/>
    <w:rsid w:val="00497CBF"/>
    <w:rsid w:val="004A2A71"/>
    <w:rsid w:val="004A3852"/>
    <w:rsid w:val="004B50C5"/>
    <w:rsid w:val="004C2FF9"/>
    <w:rsid w:val="004C43D9"/>
    <w:rsid w:val="004C7466"/>
    <w:rsid w:val="004D097B"/>
    <w:rsid w:val="004D3087"/>
    <w:rsid w:val="004D3339"/>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5469"/>
    <w:rsid w:val="006D6FE5"/>
    <w:rsid w:val="006E2AD0"/>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72640"/>
    <w:rsid w:val="00772B81"/>
    <w:rsid w:val="00774675"/>
    <w:rsid w:val="00775B59"/>
    <w:rsid w:val="00776082"/>
    <w:rsid w:val="00780B41"/>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1320"/>
    <w:rsid w:val="00925033"/>
    <w:rsid w:val="009274AC"/>
    <w:rsid w:val="00930E5A"/>
    <w:rsid w:val="00931D32"/>
    <w:rsid w:val="009327AC"/>
    <w:rsid w:val="0093518F"/>
    <w:rsid w:val="0093532A"/>
    <w:rsid w:val="00935BDC"/>
    <w:rsid w:val="00937D1C"/>
    <w:rsid w:val="00937E9F"/>
    <w:rsid w:val="00941201"/>
    <w:rsid w:val="00942853"/>
    <w:rsid w:val="009453B9"/>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D66"/>
    <w:rsid w:val="00A162C1"/>
    <w:rsid w:val="00A16F8B"/>
    <w:rsid w:val="00A172C9"/>
    <w:rsid w:val="00A212A5"/>
    <w:rsid w:val="00A213DA"/>
    <w:rsid w:val="00A30C5B"/>
    <w:rsid w:val="00A30C71"/>
    <w:rsid w:val="00A312D5"/>
    <w:rsid w:val="00A323F8"/>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62DB"/>
    <w:rsid w:val="00CE6634"/>
    <w:rsid w:val="00CE6FE8"/>
    <w:rsid w:val="00CF0237"/>
    <w:rsid w:val="00CF0562"/>
    <w:rsid w:val="00CF56E0"/>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5545F"/>
    <w:rsid w:val="00D63A4B"/>
    <w:rsid w:val="00D647E1"/>
    <w:rsid w:val="00D678C8"/>
    <w:rsid w:val="00D7089B"/>
    <w:rsid w:val="00D74634"/>
    <w:rsid w:val="00D75B36"/>
    <w:rsid w:val="00D77206"/>
    <w:rsid w:val="00D8585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FB"/>
    <w:rsid w:val="00DF670A"/>
    <w:rsid w:val="00DF79A2"/>
    <w:rsid w:val="00DF79AD"/>
    <w:rsid w:val="00E0140E"/>
    <w:rsid w:val="00E02332"/>
    <w:rsid w:val="00E03821"/>
    <w:rsid w:val="00E057A8"/>
    <w:rsid w:val="00E10790"/>
    <w:rsid w:val="00E160BA"/>
    <w:rsid w:val="00E223F4"/>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93F3F"/>
    <w:rsid w:val="00E94593"/>
    <w:rsid w:val="00EA17EC"/>
    <w:rsid w:val="00EB4B2B"/>
    <w:rsid w:val="00EC12CE"/>
    <w:rsid w:val="00EC29F9"/>
    <w:rsid w:val="00EC31DB"/>
    <w:rsid w:val="00EC3592"/>
    <w:rsid w:val="00EC3964"/>
    <w:rsid w:val="00EC50DC"/>
    <w:rsid w:val="00EC778C"/>
    <w:rsid w:val="00ED2E13"/>
    <w:rsid w:val="00ED3ED3"/>
    <w:rsid w:val="00ED6824"/>
    <w:rsid w:val="00EE4992"/>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2716"/>
    <w:rsid w:val="00F620F2"/>
    <w:rsid w:val="00F62BDA"/>
    <w:rsid w:val="00F67134"/>
    <w:rsid w:val="00F70212"/>
    <w:rsid w:val="00F73958"/>
    <w:rsid w:val="00F75FA8"/>
    <w:rsid w:val="00F82523"/>
    <w:rsid w:val="00F82E6E"/>
    <w:rsid w:val="00F83286"/>
    <w:rsid w:val="00F83B12"/>
    <w:rsid w:val="00F83D0F"/>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222E"/>
    <w:rsid w:val="00FC2946"/>
    <w:rsid w:val="00FD11D0"/>
    <w:rsid w:val="00FD3BEC"/>
    <w:rsid w:val="00FD57B7"/>
    <w:rsid w:val="00FD59F7"/>
    <w:rsid w:val="00FD5AAC"/>
    <w:rsid w:val="00FD6ED1"/>
    <w:rsid w:val="00FE115E"/>
    <w:rsid w:val="00FE1B9F"/>
    <w:rsid w:val="00FE1BAB"/>
    <w:rsid w:val="00FE3739"/>
    <w:rsid w:val="00FE5019"/>
    <w:rsid w:val="00FF0764"/>
    <w:rsid w:val="00FF09AD"/>
    <w:rsid w:val="00FF10E9"/>
    <w:rsid w:val="00FF17C8"/>
    <w:rsid w:val="00FF1F0B"/>
    <w:rsid w:val="00FF3146"/>
    <w:rsid w:val="00FF3A25"/>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sei.sistemas.ro.gov.br/sei/controlador.php?acao=protocolo_visualizar&amp;id_protocolo=17442590&amp;infra_sistema=100000100&amp;infra_unidade_atual=110000213&amp;infra_hash=60cfa459f7c5431ef790a5fa17a54ba9038b6fecebfbd34633279d8e0cc74a07" TargetMode="Externa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10</Pages>
  <Words>3521</Words>
  <Characters>19018</Characters>
  <Application>Microsoft Office Word</Application>
  <DocSecurity>0</DocSecurity>
  <Lines>158</Lines>
  <Paragraphs>44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22495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2021-10-04T13:21:00Z</dcterms:created>
  <dcterms:modified xsi:type="dcterms:W3CDTF">2021-10-04T13:22:00Z</dcterms:modified>
</cp:coreProperties>
</file>