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D394077"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202/2021</w:t>
      </w:r>
    </w:p>
    <w:p w14:paraId="486B0E8A"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348/2021</w:t>
      </w:r>
    </w:p>
    <w:p w14:paraId="4E19A0F8"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0029.143675/2021-67</w:t>
      </w:r>
    </w:p>
    <w:p w14:paraId="484125F5"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59F602"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kit escolares que serão distribuídos aos alunos do primeiro segmento do Ensino Fundamental (1º ao 5º ano) das Escolas da Rede Estadual, a pedido da Secretaria de Estado da Educação - </w:t>
      </w:r>
      <w:r>
        <w:rPr>
          <w:rFonts w:ascii="Calibri" w:hAnsi="Calibri" w:cs="Calibri"/>
          <w:b/>
          <w:bCs/>
          <w:color w:val="000000"/>
          <w:sz w:val="27"/>
          <w:szCs w:val="27"/>
        </w:rPr>
        <w:t>SEDUC,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43F6193"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8F1CBE"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34E84C8"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material de consumo (materiais escolares) para composição de 14.108 kits escolares que serão distribuídos aos alunos do primeiro segmento do Ensino Fundamental (1º ao 5º ano) das Escolas da Rede Estadual, a pedido da Secretaria de Estado da Educação - </w:t>
      </w:r>
      <w:r>
        <w:rPr>
          <w:rFonts w:ascii="Calibri" w:hAnsi="Calibri" w:cs="Calibri"/>
          <w:b/>
          <w:bCs/>
          <w:color w:val="000000"/>
          <w:sz w:val="27"/>
          <w:szCs w:val="27"/>
        </w:rPr>
        <w:t>SEDUC.</w:t>
      </w:r>
    </w:p>
    <w:p w14:paraId="5648CBBD"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BCFEC2"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0A861DF0"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6374246"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20F65937"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5C94808"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5DD2576"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FF2EF70"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5D89825"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151920C"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315C783A"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37D26CF"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3469B18"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6B8B93E"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7A74AF9"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17F42F4A"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0DC6F4E4"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4AD7B7D"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E6727C7"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466DCE11"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D8734AB"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46FC83CC"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Os materiais/bens deverão ser entregues, no prazo de até 30 (trinta) dias corridos, contados a partir do primeiro dia útil após o recebimento da Nota de Empenho – NE ou outro documento equivalente, em remessa única, devidamente embalado, sem avarias.</w:t>
      </w:r>
    </w:p>
    <w:p w14:paraId="605916BA"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p>
    <w:p w14:paraId="54C9D3CE"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DCF77CD"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7B33D7E0"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EED9581"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4B8D2358"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091CAA1"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741725ED"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716F215"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51CDC0"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0B4EE21F"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C45688B"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C89FEC"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54ABEB49"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Além daquelas determinadas por leis, decretos, regulamentos e demais dispositivos legais, a CONTRATADA estará sujeita as sanções definidas neste Termo de Referência.</w:t>
      </w:r>
    </w:p>
    <w:p w14:paraId="626E4574"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w:t>
      </w:r>
      <w:r>
        <w:rPr>
          <w:rFonts w:ascii="Calibri" w:hAnsi="Calibri" w:cs="Calibri"/>
          <w:color w:val="000000"/>
          <w:sz w:val="27"/>
          <w:szCs w:val="27"/>
        </w:rPr>
        <w:t> Sem prejuízo das sanções cominadas no art. 87, I, III e IV, da Lei nº 8.666/93, pela inexecução total ou parcial do instrumento de contrato, a Contratante poderá, garantida a prévia e ampla defesa, aplicar à Contratada multa (Tabela constante em Termo de referência do Edital – Item 19.11), sobre o valor adjudicado.</w:t>
      </w:r>
    </w:p>
    <w:p w14:paraId="3B6B6F99"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total do contrato.</w:t>
      </w:r>
    </w:p>
    <w:p w14:paraId="23A50F1C"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0E416670"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14:paraId="7E03922D"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6A0BD117"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2614C39"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49B623FD"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São exemplos de infração administrativa penalizáveis, nos termos da Lei nº 8.666, de 1993, da Lei nº 10.520, de 2002, dos Decretos Estaduais nº 12.205/06, 12.234/06 (Pregão Eletrônico e Presencial):</w:t>
      </w:r>
    </w:p>
    <w:p w14:paraId="6B8F6F5C"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w:t>
      </w:r>
      <w:r>
        <w:rPr>
          <w:rFonts w:ascii="Calibri" w:hAnsi="Calibri" w:cs="Calibri"/>
          <w:color w:val="000000"/>
          <w:sz w:val="27"/>
          <w:szCs w:val="27"/>
        </w:rPr>
        <w:t> Inexecução total ou parcial do contrato;</w:t>
      </w:r>
    </w:p>
    <w:p w14:paraId="78AFFD14"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b)</w:t>
      </w:r>
      <w:r>
        <w:rPr>
          <w:rFonts w:ascii="Calibri" w:hAnsi="Calibri" w:cs="Calibri"/>
          <w:color w:val="000000"/>
          <w:sz w:val="27"/>
          <w:szCs w:val="27"/>
        </w:rPr>
        <w:t> Apresentação de documentação falsa;</w:t>
      </w:r>
    </w:p>
    <w:p w14:paraId="128CCE65"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w:t>
      </w:r>
      <w:r>
        <w:rPr>
          <w:rFonts w:ascii="Calibri" w:hAnsi="Calibri" w:cs="Calibri"/>
          <w:color w:val="000000"/>
          <w:sz w:val="27"/>
          <w:szCs w:val="27"/>
        </w:rPr>
        <w:t> Comportamento inidôneo;</w:t>
      </w:r>
    </w:p>
    <w:p w14:paraId="3ED6C259"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w:t>
      </w:r>
      <w:r>
        <w:rPr>
          <w:rFonts w:ascii="Calibri" w:hAnsi="Calibri" w:cs="Calibri"/>
          <w:color w:val="000000"/>
          <w:sz w:val="27"/>
          <w:szCs w:val="27"/>
        </w:rPr>
        <w:t> Fraude fiscal;</w:t>
      </w:r>
    </w:p>
    <w:p w14:paraId="4FEA9903"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e)</w:t>
      </w:r>
      <w:r>
        <w:rPr>
          <w:rFonts w:ascii="Calibri" w:hAnsi="Calibri" w:cs="Calibri"/>
          <w:color w:val="000000"/>
          <w:sz w:val="27"/>
          <w:szCs w:val="27"/>
        </w:rPr>
        <w:t> Descumprimento de qualquer dos deveres elencados no Edital ou no Contrato.</w:t>
      </w:r>
    </w:p>
    <w:p w14:paraId="75FCE945"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028DEC77"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19B53007"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As sanções aqui previstas poderão ser aplicadas concomitantemente, facultada a defesa prévia do interessado, no respectivo processo, no prazo de 05 (cinco) dias úteis.</w:t>
      </w:r>
    </w:p>
    <w:p w14:paraId="5700491F"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Após 30 (trinta) dias da falta de execução do objeto, será considerada inexecução total do contrato, o que ensejará a rescisão contratual.</w:t>
      </w:r>
    </w:p>
    <w:p w14:paraId="41020D2B"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06BFFB79"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E1F0410"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56EB88A4"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A sanção será obrigatoriamente registrada no Sistema de Cadastramento Unificado de Fornecedores – SICAF, bem como em sistemas Estaduais.</w:t>
      </w:r>
    </w:p>
    <w:p w14:paraId="24E5E993"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33E78C2"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w:t>
      </w:r>
      <w:r>
        <w:rPr>
          <w:rFonts w:ascii="Calibri" w:hAnsi="Calibri" w:cs="Calibri"/>
          <w:color w:val="000000"/>
          <w:sz w:val="27"/>
          <w:szCs w:val="27"/>
        </w:rPr>
        <w:t> tenham sofrido condenações definitivas por praticarem, por meio dolosos, fraude fiscal no recolhimento de tributos;</w:t>
      </w:r>
    </w:p>
    <w:p w14:paraId="2EAB617A"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w:t>
      </w:r>
      <w:r>
        <w:rPr>
          <w:rFonts w:ascii="Calibri" w:hAnsi="Calibri" w:cs="Calibri"/>
          <w:color w:val="000000"/>
          <w:sz w:val="27"/>
          <w:szCs w:val="27"/>
        </w:rPr>
        <w:t> tenham praticado atos ilícitos visando a frustrar os objetivos da licitação;</w:t>
      </w:r>
    </w:p>
    <w:p w14:paraId="7FC7453B"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demonstrem não possuir idoneidade para contratar com a Administração em virtude de atos ilícitos praticados.</w:t>
      </w:r>
    </w:p>
    <w:p w14:paraId="1AB7E651"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9.19</w:t>
      </w:r>
      <w:r>
        <w:rPr>
          <w:rFonts w:ascii="Calibri" w:hAnsi="Calibri" w:cs="Calibri"/>
          <w:color w:val="000000"/>
          <w:sz w:val="27"/>
          <w:szCs w:val="27"/>
        </w:rPr>
        <w:t>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1C0B6AE6"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w:t>
      </w:r>
      <w:r>
        <w:rPr>
          <w:rFonts w:ascii="Calibri" w:hAnsi="Calibri" w:cs="Calibri"/>
          <w:color w:val="000000"/>
          <w:sz w:val="27"/>
          <w:szCs w:val="27"/>
        </w:rPr>
        <w:t> Na hipótese de apresentar documentação inverossímil ou de cometer fraude, o licitante poderá sofrer sem prejuízo da comunicação do ocorrido ao Ministério Público, quaisquer das sanções previstas, que poderão ser aplicadas cumulativamente.</w:t>
      </w:r>
    </w:p>
    <w:p w14:paraId="7D10B93E"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9.21</w:t>
      </w:r>
      <w:r>
        <w:rPr>
          <w:rFonts w:ascii="Calibri" w:hAnsi="Calibri" w:cs="Calibri"/>
          <w:color w:val="000000"/>
          <w:sz w:val="27"/>
          <w:szCs w:val="27"/>
        </w:rPr>
        <w:t>Tratando-se de sanção do art. 7° da Lei do Pregão, os seus efeitos recaem apenas na esfera administrativa do órgão que a aplicou".</w:t>
      </w:r>
    </w:p>
    <w:p w14:paraId="059F6880"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9.22</w:t>
      </w:r>
      <w:r>
        <w:rPr>
          <w:rFonts w:ascii="Calibri" w:hAnsi="Calibri" w:cs="Calibri"/>
          <w:color w:val="000000"/>
          <w:sz w:val="27"/>
          <w:szCs w:val="27"/>
        </w:rPr>
        <w:t> Nenhuma sanção será aplicada sem o devido processo administrativo, que prevê defesa prévia do interessado e recurso nos prazos definidos em Lei, sendo-lhe franqueada vista ao processo.</w:t>
      </w:r>
    </w:p>
    <w:p w14:paraId="4F78BC68"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E0CDAD"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C3F5543"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4B6EF5E"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9099EBA"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11AF42E"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2163B71"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49F31067"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CC91BA8"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36C683"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426A5832"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w:t>
      </w:r>
      <w:r>
        <w:rPr>
          <w:rFonts w:ascii="Calibri" w:hAnsi="Calibri" w:cs="Calibri"/>
          <w:color w:val="000000"/>
          <w:sz w:val="27"/>
          <w:szCs w:val="27"/>
        </w:rPr>
        <w:lastRenderedPageBreak/>
        <w:t>promover as negociações junto aos fornecedores, observadas as disposições contidas na alínea "d" do inciso II do caput do artigo 65 da Lei 8.666/93</w:t>
      </w:r>
    </w:p>
    <w:p w14:paraId="04C65062"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7066763"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BB92C1C"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9DE24A2"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A303B5D"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77621076"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081E691F"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1B36D42"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B7329C9"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C16CF52"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121C6BB0"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675BEBD1"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4C72A98F"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5DFBDB8"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537E35D3"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2BE3D4C4"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E66395E"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2B3C702"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5E654DF"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4052AAE1"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725899"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43BDBDC6"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612626C0"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0FA97B14"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3E3743F"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77EF87C0"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3B37BC1F"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6438D657"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7383A2B7"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1C0641E4"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71A8199"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b/>
          <w:bCs/>
          <w:color w:val="000000"/>
          <w:sz w:val="27"/>
          <w:szCs w:val="27"/>
        </w:rPr>
        <w:t>SEDUC - </w:t>
      </w:r>
      <w:r>
        <w:rPr>
          <w:rFonts w:ascii="Calibri" w:hAnsi="Calibri" w:cs="Calibri"/>
          <w:color w:val="000000"/>
          <w:sz w:val="27"/>
          <w:szCs w:val="27"/>
        </w:rPr>
        <w:t>Secretaria de Estado da Educação.</w:t>
      </w:r>
    </w:p>
    <w:p w14:paraId="0EEAA626"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AF4B1EE"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85AE527"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216065F"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1FF586F"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2BF05FB6"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F94843C"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FA1D7B3"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DCC911" w14:textId="77777777" w:rsidR="00BC1D6B" w:rsidRDefault="00BC1D6B" w:rsidP="00BC1D6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463D443F" w14:textId="371A5F40" w:rsidR="000639E4" w:rsidRDefault="000639E4" w:rsidP="00BC1D6B">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23D3E"/>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3262</Words>
  <Characters>18293</Characters>
  <Application>Microsoft Office Word</Application>
  <DocSecurity>0</DocSecurity>
  <Lines>152</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2021-09-30T14:08:00Z</dcterms:created>
  <dcterms:modified xsi:type="dcterms:W3CDTF">2021-09-30T14:10:00Z</dcterms:modified>
</cp:coreProperties>
</file>