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1A999CD7" w14:textId="77777777" w:rsidR="005E436A" w:rsidRDefault="00677763" w:rsidP="005E436A">
      <w:pPr>
        <w:pStyle w:val="textocentralizadomaiusculasnegrito"/>
        <w:jc w:val="center"/>
        <w:rPr>
          <w:rFonts w:ascii="Calibri" w:hAnsi="Calibri" w:cs="Calibri"/>
          <w:b/>
          <w:bCs/>
          <w:caps/>
          <w:color w:val="000000"/>
          <w:sz w:val="26"/>
          <w:szCs w:val="26"/>
        </w:rPr>
      </w:pPr>
      <w:r>
        <w:rPr>
          <w:b/>
          <w:bCs/>
          <w:color w:val="000000"/>
          <w:sz w:val="27"/>
          <w:szCs w:val="27"/>
        </w:rPr>
        <w:br/>
      </w:r>
      <w:r w:rsidR="005E436A">
        <w:rPr>
          <w:rStyle w:val="Forte"/>
          <w:rFonts w:ascii="Calibri" w:eastAsiaTheme="majorEastAsia" w:hAnsi="Calibri" w:cs="Calibri"/>
          <w:caps/>
          <w:color w:val="000000"/>
        </w:rPr>
        <w:t>AVISO DE PUBLICAÇÃO</w:t>
      </w:r>
    </w:p>
    <w:p w14:paraId="1222B182" w14:textId="77777777" w:rsidR="005E436A" w:rsidRDefault="005E436A" w:rsidP="005E436A">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800940E"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190/2021</w:t>
      </w:r>
    </w:p>
    <w:p w14:paraId="293CB009"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110/2021</w:t>
      </w:r>
    </w:p>
    <w:p w14:paraId="1839FFAC"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0038.265500/2020-10</w:t>
      </w:r>
    </w:p>
    <w:p w14:paraId="04121805"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302393"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confecção e instalação de letreiros, a pedido da Superintendência Estadual do Turismo – </w:t>
      </w:r>
      <w:r>
        <w:rPr>
          <w:rFonts w:ascii="Calibri" w:hAnsi="Calibri" w:cs="Calibri"/>
          <w:b/>
          <w:bCs/>
          <w:color w:val="000000"/>
          <w:sz w:val="27"/>
          <w:szCs w:val="27"/>
        </w:rPr>
        <w:t>SETUR,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2D19B3D"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3D4F06"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10D672E"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confecção e instalação de letreiros, a pedido da Superintendência Estadual do Turismo – </w:t>
      </w:r>
      <w:r>
        <w:rPr>
          <w:rFonts w:ascii="Calibri" w:hAnsi="Calibri" w:cs="Calibri"/>
          <w:b/>
          <w:bCs/>
          <w:color w:val="000000"/>
          <w:sz w:val="27"/>
          <w:szCs w:val="27"/>
        </w:rPr>
        <w:t>SETUR.</w:t>
      </w:r>
    </w:p>
    <w:p w14:paraId="6A3C2CEB"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943214"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4D51E2A9"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9714C7A"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6A8FD16A"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2A61BB55"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025C6DF8"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EF37E83"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494301"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6B9C5EEB"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68F24A3D"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2170384"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7EEB45F"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B8A7D0C"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AEC1BB6"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7EEFF399"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66136BB"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6A7D9167"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E4004B7"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2901DAB1"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472F75AB"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02C1F1E6"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 prazo para o início da execução dos serviços será de até 30 (trinta) dias a contar do recebimento da nota de empenho.</w:t>
      </w:r>
    </w:p>
    <w:p w14:paraId="6569B0AF"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6.4. DO LOCAL DE ENTREGA: </w:t>
      </w:r>
      <w:r>
        <w:rPr>
          <w:rFonts w:ascii="Calibri" w:hAnsi="Calibri" w:cs="Calibri"/>
          <w:color w:val="000000"/>
          <w:sz w:val="27"/>
          <w:szCs w:val="27"/>
        </w:rPr>
        <w:t>O material deverá ser entregue e instalado nos seguintes endereços: </w:t>
      </w:r>
    </w:p>
    <w:p w14:paraId="22AC2942"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6.4.1 CAPITAL</w:t>
      </w:r>
    </w:p>
    <w:p w14:paraId="41B780E0"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6.4.1.1 </w:t>
      </w:r>
      <w:r>
        <w:rPr>
          <w:rFonts w:ascii="Calibri" w:hAnsi="Calibri" w:cs="Calibri"/>
          <w:color w:val="000000"/>
          <w:sz w:val="27"/>
          <w:szCs w:val="27"/>
        </w:rPr>
        <w:t>Porto Velho: Rodoviária Av. Gov. Jorge Teixeira, 1296 - Embratel, Porto Velho- RO,78905-160</w:t>
      </w:r>
    </w:p>
    <w:p w14:paraId="37D7D82F"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6.4.1.2 </w:t>
      </w:r>
      <w:r>
        <w:rPr>
          <w:rFonts w:ascii="Calibri" w:hAnsi="Calibri" w:cs="Calibri"/>
          <w:color w:val="000000"/>
          <w:sz w:val="27"/>
          <w:szCs w:val="27"/>
        </w:rPr>
        <w:t>Porto Velho Aeroporto Av. Gov. Jorge Teixeira, S/N - Aeroporto, Porto Velho - RO, 76803-970</w:t>
      </w:r>
    </w:p>
    <w:p w14:paraId="6E8D4F80"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6.4.1.3 </w:t>
      </w:r>
      <w:r>
        <w:rPr>
          <w:rFonts w:ascii="Calibri" w:hAnsi="Calibri" w:cs="Calibri"/>
          <w:color w:val="000000"/>
          <w:sz w:val="27"/>
          <w:szCs w:val="27"/>
        </w:rPr>
        <w:t>Porto Velho Memorial Rondon Estr. de Santo Antônio, 4863 - Militar, Porto Velho - RO, 78916-610</w:t>
      </w:r>
    </w:p>
    <w:p w14:paraId="3E2FC5D4"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6.4.1.4 </w:t>
      </w:r>
      <w:r>
        <w:rPr>
          <w:rFonts w:ascii="Calibri" w:hAnsi="Calibri" w:cs="Calibri"/>
          <w:color w:val="000000"/>
          <w:sz w:val="27"/>
          <w:szCs w:val="27"/>
        </w:rPr>
        <w:t>Porto Velho Trevo do roque R. Goiás - Tucumanzal, Porto Velho - RO, 76804-508</w:t>
      </w:r>
    </w:p>
    <w:p w14:paraId="49C5383F"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6.4.1.5 </w:t>
      </w:r>
      <w:r>
        <w:rPr>
          <w:rFonts w:ascii="Calibri" w:hAnsi="Calibri" w:cs="Calibri"/>
          <w:color w:val="000000"/>
          <w:sz w:val="27"/>
          <w:szCs w:val="27"/>
        </w:rPr>
        <w:t>Porto Velho Centro Político Administrativo Av. Farquar, 2986 - Pedrinhas, Porto Velho - RO, 76801-470</w:t>
      </w:r>
    </w:p>
    <w:p w14:paraId="2E0BA7BF"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6.4.1.6 </w:t>
      </w:r>
      <w:r>
        <w:rPr>
          <w:rFonts w:ascii="Calibri" w:hAnsi="Calibri" w:cs="Calibri"/>
          <w:color w:val="000000"/>
          <w:sz w:val="27"/>
          <w:szCs w:val="27"/>
        </w:rPr>
        <w:t>Porto Velho Espaço Alternativo Av. Gov. Jorge Teixeira, 4026-4702</w:t>
      </w:r>
    </w:p>
    <w:p w14:paraId="102F2295"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6.4.2 DEMAIS LOCALIDADES</w:t>
      </w:r>
    </w:p>
    <w:p w14:paraId="7B4E5996"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6.4.2.1 </w:t>
      </w:r>
      <w:r>
        <w:rPr>
          <w:rFonts w:ascii="Calibri" w:hAnsi="Calibri" w:cs="Calibri"/>
          <w:color w:val="000000"/>
          <w:sz w:val="27"/>
          <w:szCs w:val="27"/>
        </w:rPr>
        <w:t>Vilhena: Br 174, km 2 - 12° 49´07.89'' 60° 04'44.82''</w:t>
      </w:r>
    </w:p>
    <w:p w14:paraId="07CFB6D2"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6.4.2.2 </w:t>
      </w:r>
      <w:r>
        <w:rPr>
          <w:rFonts w:ascii="Calibri" w:hAnsi="Calibri" w:cs="Calibri"/>
          <w:color w:val="000000"/>
          <w:sz w:val="27"/>
          <w:szCs w:val="27"/>
        </w:rPr>
        <w:t>Ouro Preto do Oeste: Br 364, km 382 - 10° 43'33.89'' 62° 14'14.03''</w:t>
      </w:r>
    </w:p>
    <w:p w14:paraId="46A55C59"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6.4.2.3 </w:t>
      </w:r>
      <w:r>
        <w:rPr>
          <w:rFonts w:ascii="Calibri" w:hAnsi="Calibri" w:cs="Calibri"/>
          <w:color w:val="000000"/>
          <w:sz w:val="27"/>
          <w:szCs w:val="27"/>
        </w:rPr>
        <w:t>Cacoal: Br 364, km 230 - 11° 28'18.17'' 61° 23'54.26''</w:t>
      </w:r>
    </w:p>
    <w:p w14:paraId="50D495CD"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6.4.2.4 </w:t>
      </w:r>
      <w:r>
        <w:rPr>
          <w:rFonts w:ascii="Calibri" w:hAnsi="Calibri" w:cs="Calibri"/>
          <w:color w:val="000000"/>
          <w:sz w:val="27"/>
          <w:szCs w:val="27"/>
        </w:rPr>
        <w:t>Ji - Paraná: Br 364, km 336 - 10° 55'36.42'' 61° 55'47.27''</w:t>
      </w:r>
    </w:p>
    <w:p w14:paraId="0683C0A7"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6.4.2.5 </w:t>
      </w:r>
      <w:r>
        <w:rPr>
          <w:rFonts w:ascii="Calibri" w:hAnsi="Calibri" w:cs="Calibri"/>
          <w:color w:val="000000"/>
          <w:sz w:val="27"/>
          <w:szCs w:val="27"/>
        </w:rPr>
        <w:t>Ariquemes: Br 364, km 510 - 09° 57'55.28'' 63° 02'48.82''</w:t>
      </w:r>
    </w:p>
    <w:p w14:paraId="07827EB8"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6.4.2.6 </w:t>
      </w:r>
      <w:r>
        <w:rPr>
          <w:rFonts w:ascii="Calibri" w:hAnsi="Calibri" w:cs="Calibri"/>
          <w:color w:val="000000"/>
          <w:sz w:val="27"/>
          <w:szCs w:val="27"/>
        </w:rPr>
        <w:t>Guajará- Mirim: Br 425 - 10° 43'57.7"S 65°17'02.7"W</w:t>
      </w:r>
    </w:p>
    <w:p w14:paraId="3444073A"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0D60042"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D4A2B2"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24723B6A"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D5E268D"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FF9CF48"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1D91D1C1"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7E288F5C"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7510A9BD"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B4CB877"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694D69FF"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9E84163"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21666E"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22636048"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eastAsiaTheme="majorEastAsia" w:hAnsi="Calibri" w:cs="Calibri"/>
          <w:color w:val="000000"/>
          <w:sz w:val="27"/>
          <w:szCs w:val="27"/>
        </w:rPr>
        <w:t>9.1 </w:t>
      </w:r>
      <w:r>
        <w:rPr>
          <w:rFonts w:ascii="Calibri" w:hAnsi="Calibri" w:cs="Calibri"/>
          <w:color w:val="FF0000"/>
          <w:sz w:val="27"/>
          <w:szCs w:val="27"/>
        </w:rPr>
        <w:t> </w:t>
      </w:r>
      <w:r>
        <w:rPr>
          <w:rFonts w:ascii="Calibri" w:hAnsi="Calibri" w:cs="Calibri"/>
          <w:color w:val="000000"/>
          <w:sz w:val="27"/>
          <w:szCs w:val="27"/>
        </w:rPr>
        <w:t>Sem</w:t>
      </w:r>
      <w:proofErr w:type="gramEnd"/>
      <w:r>
        <w:rPr>
          <w:rFonts w:ascii="Calibri" w:hAnsi="Calibri" w:cs="Calibri"/>
          <w:color w:val="000000"/>
          <w:sz w:val="27"/>
          <w:szCs w:val="27"/>
        </w:rPr>
        <w:t xml:space="preserve"> prejuízo das sanções cominadas no art. 87. I, II e IV, da Lei nº 8.666/93, pela inexecução contratual ou parcial do contrato, a Administração poderá, garantida a prévia e ampla defesa, aplicar à CONTRATADA multa de até 10% (dez por cento) sobre o valor da parte inadimplida do contrato.</w:t>
      </w:r>
    </w:p>
    <w:p w14:paraId="59716739"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xml:space="preserve"> Se a futura CONTRATADA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global do contrato. </w:t>
      </w:r>
      <w:r>
        <w:rPr>
          <w:rStyle w:val="Forte"/>
          <w:rFonts w:ascii="Calibri" w:eastAsiaTheme="majorEastAsia" w:hAnsi="Calibri" w:cs="Calibri"/>
          <w:color w:val="000000"/>
          <w:sz w:val="27"/>
          <w:szCs w:val="27"/>
        </w:rPr>
        <w:t>9.3</w:t>
      </w:r>
      <w:r>
        <w:rPr>
          <w:rFonts w:ascii="Calibri" w:hAnsi="Calibri" w:cs="Calibri"/>
          <w:color w:val="000000"/>
          <w:sz w:val="27"/>
          <w:szCs w:val="27"/>
        </w:rPr>
        <w:t>. 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6E91D0F8"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14:paraId="6B0A9D12"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multas previstas nesta seção não eximem a CONTRATADA da reparação dos eventuais danos, perdas ou prejuízos que seu ato punível venha causar à Administração.</w:t>
      </w:r>
    </w:p>
    <w:p w14:paraId="1138B9CC"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xml:space="preserve"> 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w:t>
      </w:r>
      <w:r>
        <w:rPr>
          <w:rFonts w:ascii="Calibri" w:hAnsi="Calibri" w:cs="Calibri"/>
          <w:color w:val="000000"/>
          <w:sz w:val="27"/>
          <w:szCs w:val="27"/>
        </w:rPr>
        <w:lastRenderedPageBreak/>
        <w:t>perante a própria autoridade que aplicou a penalidade, que será concedida sempre que o contratado ressarcir a Administração pelos prejuízos resultante e depois de decorridos o prazo da sanção aplicada com base na legislação vigente.</w:t>
      </w:r>
    </w:p>
    <w:p w14:paraId="483C7D22"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parteda CONTRATADA, após o que deverão ser aplicadas sanções de grau mais significativos.</w:t>
      </w:r>
    </w:p>
    <w:p w14:paraId="539959C4"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São exemplos de infração administrativa penalizáveis, nos termos da Lei nº 8.666, de 1993, da Lei nº 10.520, de 2002, do Decreto nº 3.555, de 2000, e do Decreto nº 10.024, de 2019:</w:t>
      </w:r>
    </w:p>
    <w:p w14:paraId="3D159AEE"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00E5776E"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7E2357B3"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2CE87CB2"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6E0471AF"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Descumprimento de qualquer dos deveres elencados no Edital ou no Contrato.</w:t>
      </w:r>
    </w:p>
    <w:p w14:paraId="3B8A292E"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à terceiros.</w:t>
      </w:r>
    </w:p>
    <w:p w14:paraId="3E5AA50D"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367AA74F"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1A715566"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Após 30 (trinta) dias da falta de execução do objeto, será considerada inexecução total do contrato, o que ensejará a rescisão contratual;</w:t>
      </w:r>
    </w:p>
    <w:p w14:paraId="08E5D96A"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74D26330"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63424AB"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observando o princípio da proporcionalidade;</w:t>
      </w:r>
    </w:p>
    <w:p w14:paraId="596F9441"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9.16 </w:t>
      </w:r>
      <w:r>
        <w:rPr>
          <w:rFonts w:ascii="Calibri" w:hAnsi="Calibri" w:cs="Calibri"/>
          <w:color w:val="000000"/>
          <w:sz w:val="27"/>
          <w:szCs w:val="27"/>
        </w:rPr>
        <w:t>A sanção será obrigatoriamente registrada no Sistema de Cadastramento Unificado de Fornecedores – SICAF, bem como em sistemas Estaduais.</w:t>
      </w:r>
    </w:p>
    <w:p w14:paraId="28975D2D"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Também ficam sujeitas às penalidades de suspensão de licitar e impedimento de contratar com órgão contratante e de declaração de inidoneidade, previstas nos subitens anteriores, as empresas ou profissionais que, em razão do contrato decorrente dessa licitação:</w:t>
      </w:r>
    </w:p>
    <w:p w14:paraId="51DE5FD6"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5B0F8270"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7D0BD987"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4AA4FDE3"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ACD265"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1F1039DF"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C88D6EF"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38AA6E22"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D4FE9FC"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DD06E5E"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4026F5DF"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31B3513E"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407A36"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F9D366C"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w:t>
      </w:r>
      <w:r>
        <w:rPr>
          <w:rFonts w:ascii="Calibri" w:hAnsi="Calibri" w:cs="Calibri"/>
          <w:color w:val="000000"/>
          <w:sz w:val="27"/>
          <w:szCs w:val="27"/>
        </w:rPr>
        <w:lastRenderedPageBreak/>
        <w:t>promover as negociações junto aos fornecedores, observadas as disposições contidas na alínea "d" do inciso II do caput do artigo 65 da Lei 8.666/93</w:t>
      </w:r>
    </w:p>
    <w:p w14:paraId="1D3D87AE"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C8AEBC3"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883719A"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5AA1203"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2881DA9A"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8AC13CC"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1C804863"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65B830"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57C215"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16BD85C3"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7FC13B70"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3124155"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5E612747"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02CC0FC"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5FF4567E"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3BA6FC89"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032E8AB"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C1493E2"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C79FB94"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EB51244"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38A88B4"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34AB3E9A"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88D724A"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55663A47"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4DD694E0"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3C1A4279"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674E16A"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5CF887F5"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4584A3C9"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C8C316F"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795139E0"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SETUR </w:t>
      </w:r>
      <w:r>
        <w:rPr>
          <w:rFonts w:ascii="Calibri" w:hAnsi="Calibri" w:cs="Calibri"/>
          <w:color w:val="000000"/>
          <w:sz w:val="27"/>
          <w:szCs w:val="27"/>
        </w:rPr>
        <w:t>- SUPERINTENDÊNCIA ESTADUAL DO TURISMO.</w:t>
      </w:r>
    </w:p>
    <w:p w14:paraId="3C263C50"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E49F4F"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AC04FCC"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EC2247F"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8FED862"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3BFDC94"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27DDD59"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1A19963"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F866720" w14:textId="77777777" w:rsidR="005E436A" w:rsidRDefault="005E436A" w:rsidP="005E436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935FA"/>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43DC"/>
    <w:rsid w:val="002D4646"/>
    <w:rsid w:val="002D60E9"/>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490A"/>
    <w:rsid w:val="00CC63C7"/>
    <w:rsid w:val="00CD074A"/>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3230</Words>
  <Characters>17448</Characters>
  <Application>Microsoft Office Word</Application>
  <DocSecurity>0</DocSecurity>
  <Lines>145</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2021-09-29T15:28:00Z</dcterms:created>
  <dcterms:modified xsi:type="dcterms:W3CDTF">2021-09-29T15:29:00Z</dcterms:modified>
</cp:coreProperties>
</file>