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23171DD" w14:textId="77777777" w:rsidR="003D7656" w:rsidRDefault="00677763" w:rsidP="003D7656">
      <w:pPr>
        <w:pStyle w:val="textocentralizadomaiusculasnegrito"/>
        <w:jc w:val="center"/>
        <w:rPr>
          <w:rFonts w:ascii="Calibri" w:hAnsi="Calibri" w:cs="Calibri"/>
          <w:b/>
          <w:bCs/>
          <w:caps/>
          <w:color w:val="000000"/>
          <w:sz w:val="26"/>
          <w:szCs w:val="26"/>
        </w:rPr>
      </w:pPr>
      <w:r>
        <w:rPr>
          <w:b/>
          <w:bCs/>
          <w:color w:val="000000"/>
          <w:sz w:val="27"/>
          <w:szCs w:val="27"/>
        </w:rPr>
        <w:br/>
      </w:r>
      <w:r w:rsidR="003D7656">
        <w:rPr>
          <w:rStyle w:val="Forte"/>
          <w:rFonts w:ascii="Calibri" w:eastAsiaTheme="majorEastAsia" w:hAnsi="Calibri" w:cs="Calibri"/>
          <w:caps/>
          <w:color w:val="000000"/>
        </w:rPr>
        <w:t>AVISO DE PUBLICAÇÃO</w:t>
      </w:r>
    </w:p>
    <w:p w14:paraId="0DE9E343" w14:textId="77777777" w:rsidR="003D7656" w:rsidRDefault="003D7656" w:rsidP="003D765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0C028C0"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187/2021</w:t>
      </w:r>
    </w:p>
    <w:p w14:paraId="46E83C6B"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286/2021</w:t>
      </w:r>
    </w:p>
    <w:p w14:paraId="5662B99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0026.353147/2020-63</w:t>
      </w:r>
    </w:p>
    <w:p w14:paraId="24761B0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F811EB"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Aquisição de material de consumo para distribuição gratuita e outros itens básicos para atender os alojamentos provisórios geridos por organização da sociedade civil que assegurem a proteção da população migrante em situação de rua e evitem a propagação do COVI-19, a pedido da Secretaria de Estado da Assistência e do Desenvolvimento Social - SEAS,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4D4428F"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0A27C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6A540EE"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Aquisição de material de consumo para distribuição gratuita e outros itens básicos para atender os alojamentos provisórios geridos por organização da sociedade civil que assegurem a proteção da população migrante em situação de rua e evitem a propagação do COVI-19, a pedido da Secretaria de Estado da Assistência e do Desenvolvimento Social - SEAS.</w:t>
      </w:r>
    </w:p>
    <w:p w14:paraId="4CB8CE6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D39E2F"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19685D9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3DA847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1191F6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D584A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94F189F"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A7046CE"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592BC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7F103B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428C445"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FE813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0B0792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D24499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4274AAB"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26859C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84961C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239603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2C218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E0EF6D5"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F202B75"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0301EC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para entrega será de até 30 (trinta) dias consecutivos, mediante comunicação oficial da SEAS-RO, contados a partir do primeiro dia útil após a assinatura do contrato ou do recebimento da Nota de Empenho, Ordem de Fornecimento ou outro documento equivalente.</w:t>
      </w:r>
    </w:p>
    <w:p w14:paraId="011A0BD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serão entregues no Almoxarifado da SEAS, localizado na Rua: Salgado Filho, 2395 – Bairro: São Cristóvão, nos seguintes horários: Segunda a Sexta-feira: das 07:30 min às 13h, no município de Porto Velho, no prazo estipulado em conformidade com as descrições e exigências previstas neste Termo de Referência, sob pena de aplicação de sanções previstas em Lei.</w:t>
      </w:r>
    </w:p>
    <w:p w14:paraId="5F44221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6.4.1. A Ata de Registro de Preços é realizada para aquisições de forma parcela, porém, a entrega referente ao Empenho realizado, deverá ser de forma integral, de acordo com as quantidades solicitadas em Ordem de Serviço e Nota de Empenho ou outro documento equivalente.</w:t>
      </w:r>
    </w:p>
    <w:p w14:paraId="53DC01E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40E4E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69AA61E"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5E3C72E"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E5D1A5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4C81AE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BBDCD17"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B71C0D8"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00285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F184D7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260F9D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5C9F1E"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55113B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126E612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2F929AF8"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64FE89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w:t>
      </w:r>
      <w:r>
        <w:rPr>
          <w:rFonts w:ascii="Calibri" w:hAnsi="Calibri" w:cs="Calibri"/>
          <w:color w:val="000000"/>
          <w:sz w:val="27"/>
          <w:szCs w:val="27"/>
        </w:rPr>
        <w:t> </w:t>
      </w:r>
      <w:r>
        <w:rPr>
          <w:rStyle w:val="Forte"/>
          <w:rFonts w:ascii="Calibri" w:eastAsiaTheme="majorEastAsia" w:hAnsi="Calibri" w:cs="Calibri"/>
          <w:color w:val="000000"/>
          <w:sz w:val="27"/>
          <w:szCs w:val="27"/>
        </w:rPr>
        <w:t>até 05 (cinco) anos</w:t>
      </w:r>
      <w:r>
        <w:rPr>
          <w:rFonts w:ascii="Calibri" w:hAnsi="Calibri" w:cs="Calibri"/>
          <w:color w:val="000000"/>
          <w:sz w:val="27"/>
          <w:szCs w:val="27"/>
        </w:rPr>
        <w:t>, sem prejuízo das multas previstas no Edital e das demais cominações legais, devendo ser incluída a penalidade no SICAF e no CAGEFIMP (Cadastro de Fornecedores Impedidos de Licitar e Contratar com a Administração Pública Estadual).</w:t>
      </w:r>
    </w:p>
    <w:p w14:paraId="629AFA8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E8977F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ACCFD2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519804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E5B61A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 de setembro de 2019:</w:t>
      </w:r>
    </w:p>
    <w:p w14:paraId="62BE74DF" w14:textId="77777777" w:rsidR="003D7656" w:rsidRDefault="003D7656" w:rsidP="003D7656">
      <w:pPr>
        <w:pStyle w:val="itemincisoromano"/>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lastRenderedPageBreak/>
        <w:t>Inexecução total ou parcial do contrato;</w:t>
      </w:r>
    </w:p>
    <w:p w14:paraId="3F967F1B" w14:textId="77777777" w:rsidR="003D7656" w:rsidRDefault="003D7656" w:rsidP="003D7656">
      <w:pPr>
        <w:pStyle w:val="itemincisoromano"/>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Apresentação de documentação falsa;</w:t>
      </w:r>
    </w:p>
    <w:p w14:paraId="0B96FE76" w14:textId="77777777" w:rsidR="003D7656" w:rsidRDefault="003D7656" w:rsidP="003D7656">
      <w:pPr>
        <w:pStyle w:val="itemincisoromano"/>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Comportamento inidôneo;</w:t>
      </w:r>
    </w:p>
    <w:p w14:paraId="3AACAB91" w14:textId="77777777" w:rsidR="003D7656" w:rsidRDefault="003D7656" w:rsidP="003D7656">
      <w:pPr>
        <w:pStyle w:val="itemincisoromano"/>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Fraude fiscal;</w:t>
      </w:r>
    </w:p>
    <w:p w14:paraId="0D3EA415" w14:textId="77777777" w:rsidR="003D7656" w:rsidRDefault="003D7656" w:rsidP="003D7656">
      <w:pPr>
        <w:pStyle w:val="itemincisoromano"/>
        <w:spacing w:before="120" w:beforeAutospacing="0" w:after="120" w:afterAutospacing="0"/>
        <w:ind w:left="1800" w:right="120"/>
        <w:jc w:val="both"/>
        <w:rPr>
          <w:rFonts w:ascii="Calibri" w:hAnsi="Calibri" w:cs="Calibri"/>
          <w:color w:val="000000"/>
          <w:sz w:val="27"/>
          <w:szCs w:val="27"/>
        </w:rPr>
      </w:pPr>
      <w:r>
        <w:rPr>
          <w:rFonts w:ascii="Calibri" w:hAnsi="Calibri" w:cs="Calibri"/>
          <w:color w:val="000000"/>
          <w:sz w:val="27"/>
          <w:szCs w:val="27"/>
        </w:rPr>
        <w:t>Descumprimento de qualquer dos deveres elencados no Edital ou no Contrato.</w:t>
      </w:r>
    </w:p>
    <w:p w14:paraId="37297B4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D6ABE0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3095369"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não observância da execução do serviço de acordo com o cronograma definido no subitem 2.3 do Termo de Referência, será considerada inexecução total do contrato, o que ensejará a rescisão contratual.</w:t>
      </w:r>
    </w:p>
    <w:p w14:paraId="67D1AB7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1AB3F7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1AF305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8DD7D2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sanção será obrigatoriamente registrada no Sistema de Cadastramento Unificado de Fornecedores – SICAF, bem como em sistemas Estaduais.</w:t>
      </w:r>
    </w:p>
    <w:p w14:paraId="7416FFF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1663C16" w14:textId="77777777" w:rsidR="003D7656" w:rsidRDefault="003D7656" w:rsidP="003D7656">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I- Tenham sofrido condenações definitivas por praticarem, por meio dolosos, fraude fiscal no recolhimento de tributos;</w:t>
      </w:r>
    </w:p>
    <w:p w14:paraId="3A1BE8FE" w14:textId="77777777" w:rsidR="003D7656" w:rsidRDefault="003D7656" w:rsidP="003D7656">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II- Tenham praticado atos ilícitos visando a frustrar os objetivos da licitação;</w:t>
      </w:r>
    </w:p>
    <w:p w14:paraId="5BC6194F" w14:textId="77777777" w:rsidR="003D7656" w:rsidRDefault="003D7656" w:rsidP="003D7656">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III- Demonstrem não possuir idoneidade para contratar com a Administração em virtude de atos ilícitos praticados.</w:t>
      </w:r>
    </w:p>
    <w:p w14:paraId="59C5DF0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0964D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E6E2B0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3766C3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12323D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C2209F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0E4A73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EF0A195"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073A37B"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534AB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965848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69A09C7"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E76163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33F5728"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0FFF7A3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6FF696A"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F7BE98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FBA36E8"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D946D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B7F5098"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E438A5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01E40FB"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3AFCB2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A12701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061F32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8BAC54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02E72D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0F91B6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F9CB16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94DBF3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AD66D0"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54E1E7F"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0F494F4"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2030B90"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9DF729F"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C3D1965"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F043D83"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0B8B450"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EA463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E948E36"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4208C8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FEAS - </w:t>
      </w:r>
      <w:r>
        <w:rPr>
          <w:rFonts w:ascii="Calibri" w:hAnsi="Calibri" w:cs="Calibri"/>
          <w:color w:val="000000"/>
          <w:sz w:val="27"/>
          <w:szCs w:val="27"/>
        </w:rPr>
        <w:t>Fundo Estadual de Assistência Social.</w:t>
      </w:r>
    </w:p>
    <w:p w14:paraId="5FBCDC61"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5F694D"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65796A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93C2D50"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4A30DF7"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E5B5D2C"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21253C7"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24B742" w14:textId="77777777" w:rsidR="003D7656" w:rsidRDefault="003D7656" w:rsidP="003D765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6F974121" w:rsidR="00F34D14" w:rsidRDefault="00F34D14" w:rsidP="003D7656">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3278</Words>
  <Characters>17704</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2021-09-29T15:18:00Z</dcterms:created>
  <dcterms:modified xsi:type="dcterms:W3CDTF">2021-09-29T15:19:00Z</dcterms:modified>
</cp:coreProperties>
</file>