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938E43C" w14:textId="77777777" w:rsidR="000935FA" w:rsidRDefault="00677763" w:rsidP="000935FA">
      <w:pPr>
        <w:pStyle w:val="textocentralizadomaiusculasnegrito"/>
        <w:jc w:val="center"/>
        <w:rPr>
          <w:rFonts w:ascii="Calibri" w:hAnsi="Calibri" w:cs="Calibri"/>
          <w:b/>
          <w:bCs/>
          <w:caps/>
          <w:color w:val="000000"/>
          <w:sz w:val="26"/>
          <w:szCs w:val="26"/>
        </w:rPr>
      </w:pPr>
      <w:r>
        <w:rPr>
          <w:b/>
          <w:bCs/>
          <w:color w:val="000000"/>
          <w:sz w:val="27"/>
          <w:szCs w:val="27"/>
        </w:rPr>
        <w:br/>
      </w:r>
      <w:r w:rsidR="000935FA">
        <w:rPr>
          <w:rStyle w:val="Forte"/>
          <w:rFonts w:ascii="Calibri" w:eastAsiaTheme="majorEastAsia" w:hAnsi="Calibri" w:cs="Calibri"/>
          <w:caps/>
          <w:color w:val="000000"/>
        </w:rPr>
        <w:t>AVISO DE PUBLICAÇÃO</w:t>
      </w:r>
    </w:p>
    <w:p w14:paraId="5698948A"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874DC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184/2021</w:t>
      </w:r>
    </w:p>
    <w:p w14:paraId="7FBF5E0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256/2021</w:t>
      </w:r>
    </w:p>
    <w:p w14:paraId="6B86F5C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0038.554943/2019-49</w:t>
      </w:r>
    </w:p>
    <w:p w14:paraId="338EC46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1194CA"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e eventual contratação de empresa especializada em confecção de material gráfico, para atender as necessidades da Superintendência Estadual do Turismo - SETUR,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885B60A"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A5815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4609D9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contratação de empresa especializada em confecção de material gráfico, para atender as necessidades da Superintendência Estadual do Turismo - SETUR.</w:t>
      </w:r>
    </w:p>
    <w:p w14:paraId="0989497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D373BA"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50B9431"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840EBC1"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DA0F75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3CE51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22CCD0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BC2C8E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A14E2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94147DE"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86EE24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EC3E7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226738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82A5F9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CA1755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91ED2C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E89367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0FC78F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B837A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63BB87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C1F986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3274B4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PRAZO/LOCAL/HORÁRIOS DA ENTREGA DO OBJETO </w:t>
      </w:r>
      <w:r>
        <w:rPr>
          <w:rFonts w:ascii="Calibri" w:hAnsi="Calibri" w:cs="Calibri"/>
          <w:color w:val="000000"/>
          <w:sz w:val="27"/>
          <w:szCs w:val="27"/>
        </w:rPr>
        <w:t>Os materiais confeccionados deverão ser entregues no Almoxarifado Central do Governo de Rondônia, situado à Rua Antônio Lacerda, nº 4138, bairro Industrial, Porto Velho – RO, num prazo máximo de 10 (dez) dias, a contar do recebimento da nota de empenho, com horário de funcionamento das 07h30min às 13h30min, de segunda a sexta-feira, com acuse de recebimento, como nas formas habituais.</w:t>
      </w:r>
    </w:p>
    <w:p w14:paraId="657F360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w:t>
      </w:r>
      <w:r>
        <w:rPr>
          <w:rFonts w:ascii="Calibri" w:hAnsi="Calibri" w:cs="Calibri"/>
          <w:color w:val="000000"/>
          <w:sz w:val="27"/>
          <w:szCs w:val="27"/>
        </w:rPr>
        <w:t> Somente serão recebidos os serviços em perfeita execução e sem qualquer defeito.</w:t>
      </w:r>
    </w:p>
    <w:p w14:paraId="5C49CCC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425E71"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B2DCE9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75B8A3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DD32B0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925FEC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1AD3A8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DABBD57"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8B7A17"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1D782C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3C0A52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8D482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715B871"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67518A5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14:paraId="3E34E36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E05B2CE"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0BA9330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CONTRATADA da reparação dos eventuais danos, perdas ou prejuízos que seu ato punível venha causar à Administração.</w:t>
      </w:r>
    </w:p>
    <w:p w14:paraId="75172AC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14D0AD3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2493101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5.450, de 2005:</w:t>
      </w:r>
    </w:p>
    <w:p w14:paraId="38DD4A20" w14:textId="77777777" w:rsidR="000935FA" w:rsidRDefault="000935FA" w:rsidP="000935FA">
      <w:pPr>
        <w:pStyle w:val="itemalinealetra"/>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Inexecução total ou parcial do contrato;</w:t>
      </w:r>
    </w:p>
    <w:p w14:paraId="1C718C90" w14:textId="77777777" w:rsidR="000935FA" w:rsidRDefault="000935FA" w:rsidP="000935FA">
      <w:pPr>
        <w:pStyle w:val="itemalinealetra"/>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Apresentação de documentação falsa;</w:t>
      </w:r>
    </w:p>
    <w:p w14:paraId="4B2A291C" w14:textId="77777777" w:rsidR="000935FA" w:rsidRDefault="000935FA" w:rsidP="000935FA">
      <w:pPr>
        <w:pStyle w:val="itemalinealetra"/>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Comportamento inidôneo;</w:t>
      </w:r>
    </w:p>
    <w:p w14:paraId="2B77E4E0" w14:textId="77777777" w:rsidR="000935FA" w:rsidRDefault="000935FA" w:rsidP="000935FA">
      <w:pPr>
        <w:pStyle w:val="itemalinealetra"/>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Fraude fiscal;</w:t>
      </w:r>
    </w:p>
    <w:p w14:paraId="319426B7" w14:textId="77777777" w:rsidR="000935FA" w:rsidRDefault="000935FA" w:rsidP="000935FA">
      <w:pPr>
        <w:pStyle w:val="itemalinealetra"/>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Descumprimento de qualquer dos deveres elencados no Edital ou no Contrato.</w:t>
      </w:r>
    </w:p>
    <w:p w14:paraId="1B9DFCF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à terceiros.</w:t>
      </w:r>
    </w:p>
    <w:p w14:paraId="16FD87D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74FFD5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72B7F1F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15C9688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ABB722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41853E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observando o princípio da proporcionalidade;</w:t>
      </w:r>
    </w:p>
    <w:p w14:paraId="2458D00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7E30FB4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382493C2" w14:textId="77777777" w:rsidR="000935FA" w:rsidRDefault="000935FA" w:rsidP="000935FA">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6E453F88" w14:textId="77777777" w:rsidR="000935FA" w:rsidRDefault="000935FA" w:rsidP="000935FA">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71A33E3D" w14:textId="77777777" w:rsidR="000935FA" w:rsidRDefault="000935FA" w:rsidP="000935FA">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1E97917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37B52E7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3CC4851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5A319DF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86D15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B190B8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ADC4AF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03457B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31608F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F62740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F0AD06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CEA6D7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764AD7"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D22076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D83BB0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1AB2B66"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2EACCDC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6604B4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7359F4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F2CBD5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267815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D9302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218602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C2E3DF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50C1F9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D24F584"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DEBA6FE"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472102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56E3672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CF88CFE"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645DFF7"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1ADCB98"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36836E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0FD81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AE2F5A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FF7D493"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1A2E65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16C6B42"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75B84FE"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D09B8B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590070BD"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F1F33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D0BE4FC"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C5C823F"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SETUR - </w:t>
      </w:r>
      <w:r>
        <w:rPr>
          <w:rFonts w:ascii="Calibri" w:hAnsi="Calibri" w:cs="Calibri"/>
          <w:color w:val="000000"/>
          <w:sz w:val="27"/>
          <w:szCs w:val="27"/>
        </w:rPr>
        <w:t>Superintendência Estadual do Turismo.</w:t>
      </w:r>
    </w:p>
    <w:p w14:paraId="73FD830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978837"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351918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B47CE70"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CC790F5"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F10BAA1"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FD49219"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F59A3B" w14:textId="77777777" w:rsidR="000935FA" w:rsidRDefault="000935FA" w:rsidP="000935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412A9869" w:rsidR="00F34D14" w:rsidRDefault="00F34D14" w:rsidP="000935F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lastRenderedPageBreak/>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3138</Words>
  <Characters>17672</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2021-09-29T15:08:00Z</dcterms:created>
  <dcterms:modified xsi:type="dcterms:W3CDTF">2021-09-29T15:09:00Z</dcterms:modified>
</cp:coreProperties>
</file>