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C5006AE" w14:textId="77777777" w:rsidR="0032367C" w:rsidRDefault="00677763" w:rsidP="0032367C">
      <w:pPr>
        <w:pStyle w:val="textocentralizadomaiusculasnegrito"/>
        <w:jc w:val="center"/>
        <w:rPr>
          <w:rFonts w:ascii="Calibri" w:hAnsi="Calibri" w:cs="Calibri"/>
          <w:b/>
          <w:bCs/>
          <w:caps/>
          <w:color w:val="000000"/>
          <w:sz w:val="26"/>
          <w:szCs w:val="26"/>
        </w:rPr>
      </w:pPr>
      <w:r>
        <w:rPr>
          <w:b/>
          <w:bCs/>
          <w:color w:val="000000"/>
          <w:sz w:val="27"/>
          <w:szCs w:val="27"/>
        </w:rPr>
        <w:br/>
      </w:r>
      <w:r w:rsidR="0032367C">
        <w:rPr>
          <w:rStyle w:val="Forte"/>
          <w:rFonts w:ascii="Calibri" w:eastAsiaTheme="majorEastAsia" w:hAnsi="Calibri" w:cs="Calibri"/>
          <w:caps/>
          <w:color w:val="000000"/>
        </w:rPr>
        <w:t>AVISO DE PUBLICAÇÃO</w:t>
      </w:r>
    </w:p>
    <w:p w14:paraId="751D04A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481A0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178/2021</w:t>
      </w:r>
    </w:p>
    <w:p w14:paraId="6A1CB5D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243/2021</w:t>
      </w:r>
    </w:p>
    <w:p w14:paraId="6A791E2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0036.192477/2019-13</w:t>
      </w:r>
    </w:p>
    <w:p w14:paraId="43875DB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24211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futura, eventual e parcelada aquisição de materiais de consumo (Material Médico-Hospitalar/Penso - "Embalagem para esterilização, mascara descartável, esparadrapo impermeável, touca descartável"). Grupo de apresentação "Têxteis", a pedido da Secretaria de Estado da Saúde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416F5E7"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E48AB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DAB5D2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futura, eventual e parcelada aquisição de materiais de consumo (Material Médico-Hospitalar/Penso - "Embalagem para esterilização, mascara descartável, esparadrapo impermeável, touca descartável"). Grupo de apresentação "Têxteis", a pedido da Secretaria de Estado da Saúde - SESAU.</w:t>
      </w:r>
    </w:p>
    <w:p w14:paraId="6222BCD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B2C217"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09CCEB9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5769D4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27D7B9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FA7FC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F0408A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8CCAA9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BA088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1E4EA9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607B53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C0A29B"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92ADCB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C61379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89F363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7EEE931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18E00B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FBF712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6405B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E3BE13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A3C13D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DD1C13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até 30 dias corridos após o recebimento da Nota de Empenho.</w:t>
      </w:r>
    </w:p>
    <w:p w14:paraId="32ED8DC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07h30h às 13h30h.</w:t>
      </w:r>
    </w:p>
    <w:p w14:paraId="5E65EE3A"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6.4.1 -</w:t>
      </w:r>
      <w:r>
        <w:rPr>
          <w:rFonts w:ascii="Calibri" w:hAnsi="Calibri" w:cs="Calibri"/>
          <w:color w:val="000000"/>
          <w:sz w:val="27"/>
          <w:szCs w:val="27"/>
        </w:rPr>
        <w:t> Para entrega é necessária realização de prévio agendamento junto ao CAF-II, informações através do e-mail: </w:t>
      </w:r>
      <w:hyperlink r:id="rId9" w:tgtFrame="_blank" w:history="1">
        <w:r>
          <w:rPr>
            <w:rStyle w:val="Hyperlink"/>
            <w:rFonts w:ascii="Calibri" w:eastAsiaTheme="minorEastAsia" w:hAnsi="Calibri" w:cs="Calibri"/>
            <w:sz w:val="27"/>
            <w:szCs w:val="27"/>
          </w:rPr>
          <w:t>cafii.requisicao@gmail.com</w:t>
        </w:r>
      </w:hyperlink>
      <w:r>
        <w:rPr>
          <w:rFonts w:ascii="Calibri" w:hAnsi="Calibri" w:cs="Calibri"/>
          <w:color w:val="000000"/>
          <w:sz w:val="27"/>
          <w:szCs w:val="27"/>
        </w:rPr>
        <w:t> ou pelos telefones: (69) 3216-5759/3216-5580.</w:t>
      </w:r>
    </w:p>
    <w:p w14:paraId="0771117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B7FFB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8DAB2A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90484F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D6DB87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54AAB0A"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C90512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7856F8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14504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758A38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E85ABC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1B234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125CAB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 </w:t>
      </w:r>
      <w:r>
        <w:rPr>
          <w:rFonts w:ascii="Calibri" w:hAnsi="Calibri" w:cs="Calibri"/>
          <w:color w:val="000000"/>
          <w:sz w:val="27"/>
          <w:szCs w:val="27"/>
        </w:rPr>
        <w:t>Comete infração administrativa nos termos da Lei nº 8.666, de 1993 e da Lei nº 10.520, de 2002, Decreto Estadual n° 12.205/06 e do Decreto Estadual n° 12.234/06, a contratada que:</w:t>
      </w:r>
    </w:p>
    <w:p w14:paraId="51DE997C"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 Não executar total ou parcialmente qualquer das obrigações assumidas em decorrência da contratação;</w:t>
      </w:r>
    </w:p>
    <w:p w14:paraId="63B2FD24"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 - Ensejar o retardamento da execução do objeto;</w:t>
      </w:r>
    </w:p>
    <w:p w14:paraId="64A638C6"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III - Falhar ou fraudar na execução do contrato;</w:t>
      </w:r>
    </w:p>
    <w:p w14:paraId="57DCF6F2"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IV - Comportar-se de modo inidôneo;</w:t>
      </w:r>
    </w:p>
    <w:p w14:paraId="52FA74C9"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V - Cometer fraude fiscal;</w:t>
      </w:r>
    </w:p>
    <w:p w14:paraId="6D5F18CF"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VI - Não mantiver a proposta;</w:t>
      </w:r>
    </w:p>
    <w:p w14:paraId="7447BC93"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VII - Apresentar documento ou declaração falsa.</w:t>
      </w:r>
    </w:p>
    <w:p w14:paraId="7F1A4B8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2ECFC10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1 % (um por cento) sobre o valor adjudicado.</w:t>
      </w:r>
    </w:p>
    <w:p w14:paraId="732CD45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19DA697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6B0DCBA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B49DCE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BACFFE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6E24DA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2C91E5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89DA4F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2CE0B1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58B70A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616CA81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078EE12"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 Tenham sofrido condenações definitivas por praticarem, por meio dolosos, fraude fiscal no recolhimento de tributos;</w:t>
      </w:r>
    </w:p>
    <w:p w14:paraId="5A51E41B"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 - Tenham praticado atos ilícitos visando a frustrar os objetivos da licitação;</w:t>
      </w:r>
    </w:p>
    <w:p w14:paraId="12A8C929"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III - Demonstrem não possuir idoneidade para contratar com a Administração em virtude de atos ilícitos praticados.</w:t>
      </w:r>
    </w:p>
    <w:p w14:paraId="7039EC3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Cobrança pelo Estado, por via administrativa ou judicial, de multa equivalente a 1% (um por cento) do valor estimado pelo item ofertado.</w:t>
      </w:r>
    </w:p>
    <w:p w14:paraId="79277D9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7B0965D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3293CEAE"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 Advertência, sempre que for constatada irregularidade de pouca gravidade, para as quais tenha a Contratada concorrida diretamente, ocorrência que será registrada no Cadastro de Fornecedores do Estado de Rondônia;</w:t>
      </w:r>
    </w:p>
    <w:p w14:paraId="6B6CB543"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lastRenderedPageBreak/>
        <w:t>II -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472B331"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III - Multa de 10% (dez por cento), na hipótese de inexecução parcial ou total de cada Nota de Empenho, calculada sobre o valor total da inadimplência ou na hipótese do não cumprimento de qualquer das obrigações assumidas.</w:t>
      </w:r>
    </w:p>
    <w:p w14:paraId="7F512F5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As multas serão, após regular processo administrativo, descontadas dos créditos da empresa detentora da Ata ou, se for o caso, cobrada administrativa ou judicialmente.</w:t>
      </w:r>
    </w:p>
    <w:p w14:paraId="68924D4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14:paraId="4FABCF5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 As penalidades são independentes e a aplicação de uma não exclui a das demais, quando cabíveis.</w:t>
      </w:r>
    </w:p>
    <w:p w14:paraId="0D3E5D6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2C920A9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 Desclassificação, se a seleção se encontrar em fase de julgamento;</w:t>
      </w:r>
    </w:p>
    <w:p w14:paraId="79AE0CD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9.23 - </w:t>
      </w:r>
      <w:r>
        <w:rPr>
          <w:rFonts w:ascii="Calibri" w:hAnsi="Calibri" w:cs="Calibri"/>
          <w:color w:val="000000"/>
          <w:sz w:val="27"/>
          <w:szCs w:val="27"/>
        </w:rPr>
        <w:t>Cancelamento do preço registrado, procedendo-se à paralisação do fornecimento.</w:t>
      </w:r>
    </w:p>
    <w:p w14:paraId="252F6BD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9.24 -</w:t>
      </w:r>
      <w:r>
        <w:rPr>
          <w:rFonts w:ascii="Calibri" w:hAnsi="Calibri" w:cs="Calibri"/>
          <w:color w:val="000000"/>
          <w:sz w:val="27"/>
          <w:szCs w:val="27"/>
        </w:rPr>
        <w:t> O preço registrado poderá ser cancelado pela Administração Pública, nos termos do Artigo 24 e 25 do Decreto 18.340/13, quando:</w:t>
      </w:r>
    </w:p>
    <w:p w14:paraId="2749324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1AD4D0"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 A Detentora do Registro deixar de cumprir total ou parcial as condições da Ata de Registro de Preços.</w:t>
      </w:r>
    </w:p>
    <w:p w14:paraId="2663158B"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 - A Detentora do Registro não retirar a nota de empenho ou instrumento equivalente no prazo estabelecido, sem justificativa aceita pela Administração;</w:t>
      </w:r>
    </w:p>
    <w:p w14:paraId="423E3124"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III - A detentora incorrer reiteradamente em infrações previstas no Edital;</w:t>
      </w:r>
    </w:p>
    <w:p w14:paraId="66EFFC08"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IV - A Detentora do Registro que praticar atos fraudulentos no intuito de auferir vantagem ilícita;</w:t>
      </w:r>
    </w:p>
    <w:p w14:paraId="1FA4A376"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V - Não aceitar reduzir o seu preço registrado, na hipótese deste se tornar superior aqueles praticados no mercador ou sofrer sanção prevista nos incisos III ou IV do caput do artigo 87 da Lei 8.666/93 ou no artigo 7º da Lei 10.520/02.</w:t>
      </w:r>
    </w:p>
    <w:p w14:paraId="0A1FB692"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VI - Por razões de interesse público, mediante despacho motivado, devidamente justificado.</w:t>
      </w:r>
    </w:p>
    <w:p w14:paraId="7DABA43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C73C5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9.25 -</w:t>
      </w:r>
      <w:r>
        <w:rPr>
          <w:rFonts w:ascii="Calibri" w:hAnsi="Calibri" w:cs="Calibri"/>
          <w:color w:val="000000"/>
          <w:sz w:val="27"/>
          <w:szCs w:val="27"/>
        </w:rPr>
        <w:t> O cancelamento do registro nas hipóteses do parágrafo acima,</w:t>
      </w:r>
      <w:r>
        <w:rPr>
          <w:rStyle w:val="Forte"/>
          <w:rFonts w:ascii="Calibri" w:eastAsiaTheme="majorEastAsia" w:hAnsi="Calibri" w:cs="Calibri"/>
          <w:color w:val="000000"/>
          <w:sz w:val="27"/>
          <w:szCs w:val="27"/>
        </w:rPr>
        <w:t> alíneas: "I, II, III, IV, V, V, VI"</w:t>
      </w:r>
      <w:r>
        <w:rPr>
          <w:rFonts w:ascii="Calibri" w:hAnsi="Calibri" w:cs="Calibri"/>
          <w:color w:val="000000"/>
          <w:sz w:val="27"/>
          <w:szCs w:val="27"/>
        </w:rPr>
        <w:t>, será formalizado por despacho do órgão gerenciador, assegurado o contraditório e a ampla defesa.</w:t>
      </w:r>
    </w:p>
    <w:p w14:paraId="4262297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9.26 - </w:t>
      </w:r>
      <w:r>
        <w:rPr>
          <w:rFonts w:ascii="Calibri" w:hAnsi="Calibri" w:cs="Calibri"/>
          <w:color w:val="000000"/>
          <w:sz w:val="27"/>
          <w:szCs w:val="27"/>
        </w:rPr>
        <w:t>O cancelamento do registro nas hipóteses do parágrafo acima, </w:t>
      </w:r>
      <w:r>
        <w:rPr>
          <w:rStyle w:val="Forte"/>
          <w:rFonts w:ascii="Calibri" w:eastAsiaTheme="majorEastAsia" w:hAnsi="Calibri" w:cs="Calibri"/>
          <w:color w:val="000000"/>
          <w:sz w:val="27"/>
          <w:szCs w:val="27"/>
        </w:rPr>
        <w:t>alíneas: "I, II, III, IV, V"</w:t>
      </w:r>
      <w:r>
        <w:rPr>
          <w:rFonts w:ascii="Calibri" w:hAnsi="Calibri" w:cs="Calibri"/>
          <w:color w:val="000000"/>
          <w:sz w:val="27"/>
          <w:szCs w:val="27"/>
        </w:rPr>
        <w:t>, acarretará ainda a aplicação das penalidades cabíveis, assegurado o contraditório e a ampla defesa.</w:t>
      </w:r>
    </w:p>
    <w:p w14:paraId="4ADDE15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9.27 -</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3D19E2E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5218E48"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Por razões de interesse público;</w:t>
      </w:r>
    </w:p>
    <w:p w14:paraId="135C3102"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 a pedido do fornecedor, desde que devidamente fundamentado e justificando e estando em consonância com a legislação vigente.</w:t>
      </w:r>
    </w:p>
    <w:p w14:paraId="52D0CCD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F4EB63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9.28 -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79B0FD3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9.29 -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15F04C9B"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9.30 -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3EB78D6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9.31 -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22B7AF7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BD3FB7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9.32 -</w:t>
      </w:r>
      <w:r>
        <w:rPr>
          <w:rFonts w:ascii="Calibri" w:hAnsi="Calibri" w:cs="Calibri"/>
          <w:color w:val="000000"/>
          <w:sz w:val="27"/>
          <w:szCs w:val="27"/>
        </w:rPr>
        <w:t>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14:paraId="0E61FE4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640C81"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 advertência;</w:t>
      </w:r>
    </w:p>
    <w:p w14:paraId="7940AB98"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 multa;</w:t>
      </w:r>
    </w:p>
    <w:p w14:paraId="4103D44A"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III) suspensão temporária do direito de licitar, de contratar com a Administração pelo prazo de até 02 (dois) anos;</w:t>
      </w:r>
    </w:p>
    <w:p w14:paraId="4AF3EE47" w14:textId="77777777" w:rsidR="0032367C" w:rsidRDefault="0032367C" w:rsidP="0032367C">
      <w:pPr>
        <w:pStyle w:val="citacao"/>
        <w:spacing w:before="80" w:beforeAutospacing="0" w:after="80" w:afterAutospacing="0"/>
        <w:ind w:left="2400"/>
        <w:jc w:val="both"/>
        <w:rPr>
          <w:rFonts w:ascii="Calibri" w:hAnsi="Calibri" w:cs="Calibri"/>
          <w:color w:val="000000"/>
          <w:sz w:val="20"/>
          <w:szCs w:val="20"/>
        </w:rPr>
      </w:pPr>
      <w:r>
        <w:rPr>
          <w:rStyle w:val="Forte"/>
          <w:rFonts w:ascii="Calibri" w:eastAsiaTheme="majorEastAsia" w:hAnsi="Calibri" w:cs="Calibri"/>
          <w:color w:val="000000"/>
          <w:sz w:val="20"/>
          <w:szCs w:val="20"/>
        </w:rPr>
        <w:t>IV) declaração de inidoneidade para licitar e contratar com a Administração Pública enquanto perdurarem os motivos determinantes da punição ou até que seja promovida a reabilitação perante a própria autoridade que aplicou a penalidade.</w:t>
      </w:r>
    </w:p>
    <w:p w14:paraId="0B08FA0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6BB487"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F999C7"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A8D2F27"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556A60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82D84C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54CE09A"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15140E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5337FE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3BFDF80"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EDE5A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B8FFB5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DA9A04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F75B62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1DAD102"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229132E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759FD4A"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256DD0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2969DA3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E4475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90CD2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A1A81F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5F8E12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7E2A21C"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C71D93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6A648E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3446A0E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4987EF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94C700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47368C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A87942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E4A76C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BC74E1"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7DDCD6D8"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C2B070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9B909A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AB5414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695742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E9569E4"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150BF705"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102E3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2C9E50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664DADE"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462D6AD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696F8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2E9A189"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7E6BD6A"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9FD71A3"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AFD5ACD"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0491231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FD1C06"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F29021F" w14:textId="77777777" w:rsidR="0032367C" w:rsidRDefault="0032367C" w:rsidP="0032367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3996</Words>
  <Characters>22196</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2021-09-29T14:38:00Z</dcterms:created>
  <dcterms:modified xsi:type="dcterms:W3CDTF">2021-09-29T14:39:00Z</dcterms:modified>
</cp:coreProperties>
</file>