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2CF2923" w14:textId="77777777" w:rsidR="002D01BF" w:rsidRDefault="00677763" w:rsidP="002D01BF">
      <w:pPr>
        <w:pStyle w:val="textocentralizadomaiusculasnegrito"/>
        <w:jc w:val="center"/>
        <w:rPr>
          <w:rFonts w:ascii="Calibri" w:hAnsi="Calibri" w:cs="Calibri"/>
          <w:b/>
          <w:bCs/>
          <w:caps/>
          <w:color w:val="000000"/>
          <w:sz w:val="26"/>
          <w:szCs w:val="26"/>
        </w:rPr>
      </w:pPr>
      <w:r>
        <w:rPr>
          <w:b/>
          <w:bCs/>
          <w:color w:val="000000"/>
          <w:sz w:val="27"/>
          <w:szCs w:val="27"/>
        </w:rPr>
        <w:br/>
      </w:r>
      <w:r w:rsidR="002D01BF">
        <w:rPr>
          <w:rStyle w:val="Forte"/>
          <w:rFonts w:ascii="Calibri" w:eastAsiaTheme="majorEastAsia" w:hAnsi="Calibri" w:cs="Calibri"/>
          <w:caps/>
          <w:color w:val="000000"/>
        </w:rPr>
        <w:t>AVISO DE PUBLICAÇÃO</w:t>
      </w:r>
    </w:p>
    <w:p w14:paraId="106A104A" w14:textId="77777777" w:rsidR="002D01BF" w:rsidRDefault="002D01BF" w:rsidP="002D01B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FFFA20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174/2021</w:t>
      </w:r>
    </w:p>
    <w:p w14:paraId="1CF6BFE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259/2021</w:t>
      </w:r>
    </w:p>
    <w:p w14:paraId="412CDBF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0036.112873/2021-90</w:t>
      </w:r>
    </w:p>
    <w:p w14:paraId="70FF141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B2277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e Eventual Aquisição de </w:t>
      </w:r>
      <w:r>
        <w:rPr>
          <w:rStyle w:val="Forte"/>
          <w:rFonts w:ascii="Calibri" w:eastAsiaTheme="majorEastAsia" w:hAnsi="Calibri" w:cs="Calibri"/>
          <w:color w:val="000000"/>
          <w:sz w:val="27"/>
          <w:szCs w:val="27"/>
        </w:rPr>
        <w:t>Água Mineral  Garrafão de 20 litros /Garrafa Pet de 500 ml, </w:t>
      </w:r>
      <w:r>
        <w:rPr>
          <w:rFonts w:ascii="Calibri" w:hAnsi="Calibri" w:cs="Calibri"/>
          <w:color w:val="000000"/>
          <w:sz w:val="27"/>
          <w:szCs w:val="27"/>
        </w:rPr>
        <w:t>para atender as necessidades dos setores vinculados a Secretária de Estado da Saúde - SESAU: Hospital de Base Dr. Ary Pinheiro - </w:t>
      </w:r>
      <w:r>
        <w:rPr>
          <w:rStyle w:val="Forte"/>
          <w:rFonts w:ascii="Calibri" w:eastAsiaTheme="majorEastAsia" w:hAnsi="Calibri" w:cs="Calibri"/>
          <w:color w:val="000000"/>
          <w:sz w:val="27"/>
          <w:szCs w:val="27"/>
        </w:rPr>
        <w:t>HBAP, </w:t>
      </w:r>
      <w:r>
        <w:rPr>
          <w:rFonts w:ascii="Calibri" w:hAnsi="Calibri" w:cs="Calibri"/>
          <w:color w:val="000000"/>
          <w:sz w:val="27"/>
          <w:szCs w:val="27"/>
        </w:rPr>
        <w:t>Hospital Infantil Cosme e Damião - </w:t>
      </w:r>
      <w:r>
        <w:rPr>
          <w:rStyle w:val="Forte"/>
          <w:rFonts w:ascii="Calibri" w:eastAsiaTheme="majorEastAsia" w:hAnsi="Calibri" w:cs="Calibri"/>
          <w:color w:val="000000"/>
          <w:sz w:val="27"/>
          <w:szCs w:val="27"/>
        </w:rPr>
        <w:t>HICD, </w:t>
      </w:r>
      <w:r>
        <w:rPr>
          <w:rFonts w:ascii="Calibri" w:hAnsi="Calibri" w:cs="Calibri"/>
          <w:color w:val="000000"/>
          <w:sz w:val="27"/>
          <w:szCs w:val="27"/>
        </w:rPr>
        <w:t> Hospital de Pronto Socorro João Paulo II</w:t>
      </w:r>
      <w:r>
        <w:rPr>
          <w:rFonts w:ascii="Calibri" w:hAnsi="Calibri" w:cs="Calibri"/>
          <w:b/>
          <w:bCs/>
          <w:color w:val="000000"/>
          <w:sz w:val="27"/>
          <w:szCs w:val="27"/>
        </w:rPr>
        <w:t> - </w:t>
      </w:r>
      <w:r>
        <w:rPr>
          <w:rStyle w:val="Forte"/>
          <w:rFonts w:ascii="Calibri" w:eastAsiaTheme="majorEastAsia" w:hAnsi="Calibri" w:cs="Calibri"/>
          <w:color w:val="000000"/>
          <w:sz w:val="27"/>
          <w:szCs w:val="27"/>
        </w:rPr>
        <w:t>HPSJP-II</w:t>
      </w:r>
      <w:r>
        <w:rPr>
          <w:rFonts w:ascii="Calibri" w:hAnsi="Calibri" w:cs="Calibri"/>
          <w:color w:val="000000"/>
          <w:sz w:val="27"/>
          <w:szCs w:val="27"/>
        </w:rPr>
        <w:t>, Unidade de Assistência Médica Intensiva - </w:t>
      </w:r>
      <w:r>
        <w:rPr>
          <w:rStyle w:val="Forte"/>
          <w:rFonts w:ascii="Calibri" w:eastAsiaTheme="majorEastAsia" w:hAnsi="Calibri" w:cs="Calibri"/>
          <w:color w:val="000000"/>
          <w:sz w:val="27"/>
          <w:szCs w:val="27"/>
        </w:rPr>
        <w:t>AMI, </w:t>
      </w:r>
      <w:r>
        <w:rPr>
          <w:rFonts w:ascii="Calibri" w:hAnsi="Calibri" w:cs="Calibri"/>
          <w:color w:val="000000"/>
          <w:sz w:val="27"/>
          <w:szCs w:val="27"/>
        </w:rPr>
        <w:t>Centro de Medicina Tropical de Rondônia- </w:t>
      </w:r>
      <w:r>
        <w:rPr>
          <w:rStyle w:val="Forte"/>
          <w:rFonts w:ascii="Calibri" w:eastAsiaTheme="majorEastAsia" w:hAnsi="Calibri" w:cs="Calibri"/>
          <w:color w:val="000000"/>
          <w:sz w:val="27"/>
          <w:szCs w:val="27"/>
        </w:rPr>
        <w:t>CEMETRON</w:t>
      </w:r>
      <w:r>
        <w:rPr>
          <w:rFonts w:ascii="Calibri" w:hAnsi="Calibri" w:cs="Calibri"/>
          <w:color w:val="000000"/>
          <w:sz w:val="27"/>
          <w:szCs w:val="27"/>
        </w:rPr>
        <w:t>, Policlínica Oswaldo Cruz -</w:t>
      </w:r>
      <w:r>
        <w:rPr>
          <w:rStyle w:val="Forte"/>
          <w:rFonts w:ascii="Calibri" w:eastAsiaTheme="majorEastAsia" w:hAnsi="Calibri" w:cs="Calibri"/>
          <w:color w:val="000000"/>
          <w:sz w:val="27"/>
          <w:szCs w:val="27"/>
        </w:rPr>
        <w:t> POC</w:t>
      </w:r>
      <w:r>
        <w:rPr>
          <w:rFonts w:ascii="Calibri" w:hAnsi="Calibri" w:cs="Calibri"/>
          <w:color w:val="000000"/>
          <w:sz w:val="27"/>
          <w:szCs w:val="27"/>
        </w:rPr>
        <w:t>, Complexo Hospitalar Regional de Cacoal - </w:t>
      </w:r>
      <w:r>
        <w:rPr>
          <w:rStyle w:val="Forte"/>
          <w:rFonts w:ascii="Calibri" w:eastAsiaTheme="majorEastAsia" w:hAnsi="Calibri" w:cs="Calibri"/>
          <w:color w:val="000000"/>
          <w:sz w:val="27"/>
          <w:szCs w:val="27"/>
        </w:rPr>
        <w:t>COHREC</w:t>
      </w:r>
      <w:r>
        <w:rPr>
          <w:rFonts w:ascii="Calibri" w:hAnsi="Calibri" w:cs="Calibri"/>
          <w:color w:val="000000"/>
          <w:sz w:val="27"/>
          <w:szCs w:val="27"/>
        </w:rPr>
        <w:t>, Hospital Regional de Cacoal - </w:t>
      </w:r>
      <w:r>
        <w:rPr>
          <w:rStyle w:val="Forte"/>
          <w:rFonts w:ascii="Calibri" w:eastAsiaTheme="majorEastAsia" w:hAnsi="Calibri" w:cs="Calibri"/>
          <w:color w:val="000000"/>
          <w:sz w:val="27"/>
          <w:szCs w:val="27"/>
        </w:rPr>
        <w:t>HRC</w:t>
      </w:r>
      <w:r>
        <w:rPr>
          <w:rFonts w:ascii="Calibri" w:hAnsi="Calibri" w:cs="Calibri"/>
          <w:color w:val="000000"/>
          <w:sz w:val="27"/>
          <w:szCs w:val="27"/>
        </w:rPr>
        <w:t>, Hospital Regional de Extrema -  </w:t>
      </w:r>
      <w:r>
        <w:rPr>
          <w:rStyle w:val="Forte"/>
          <w:rFonts w:ascii="Calibri" w:eastAsiaTheme="majorEastAsia" w:hAnsi="Calibri" w:cs="Calibri"/>
          <w:color w:val="000000"/>
          <w:sz w:val="27"/>
          <w:szCs w:val="27"/>
        </w:rPr>
        <w:t>HRE</w:t>
      </w:r>
      <w:r>
        <w:rPr>
          <w:rFonts w:ascii="Calibri" w:hAnsi="Calibri" w:cs="Calibri"/>
          <w:color w:val="000000"/>
          <w:sz w:val="27"/>
          <w:szCs w:val="27"/>
        </w:rPr>
        <w:t>, Hospital Regional de Buritis - </w:t>
      </w:r>
      <w:r>
        <w:rPr>
          <w:rStyle w:val="Forte"/>
          <w:rFonts w:ascii="Calibri" w:eastAsiaTheme="majorEastAsia" w:hAnsi="Calibri" w:cs="Calibri"/>
          <w:color w:val="000000"/>
          <w:sz w:val="27"/>
          <w:szCs w:val="27"/>
        </w:rPr>
        <w:t> HRB</w:t>
      </w:r>
      <w:r>
        <w:rPr>
          <w:rFonts w:ascii="Calibri" w:hAnsi="Calibri" w:cs="Calibri"/>
          <w:color w:val="000000"/>
          <w:sz w:val="27"/>
          <w:szCs w:val="27"/>
        </w:rPr>
        <w:t>, Hospital de Campanha de Rondônia - </w:t>
      </w:r>
      <w:r>
        <w:rPr>
          <w:rStyle w:val="Forte"/>
          <w:rFonts w:ascii="Calibri" w:eastAsiaTheme="majorEastAsia" w:hAnsi="Calibri" w:cs="Calibri"/>
          <w:color w:val="000000"/>
          <w:sz w:val="27"/>
          <w:szCs w:val="27"/>
        </w:rPr>
        <w:t xml:space="preserve">Regina </w:t>
      </w:r>
      <w:proofErr w:type="spellStart"/>
      <w:r>
        <w:rPr>
          <w:rStyle w:val="Forte"/>
          <w:rFonts w:ascii="Calibri" w:eastAsiaTheme="majorEastAsia" w:hAnsi="Calibri" w:cs="Calibri"/>
          <w:color w:val="000000"/>
          <w:sz w:val="27"/>
          <w:szCs w:val="27"/>
        </w:rPr>
        <w:t>Pacis</w:t>
      </w:r>
      <w:proofErr w:type="spellEnd"/>
      <w:r>
        <w:rPr>
          <w:rFonts w:ascii="Calibri" w:hAnsi="Calibri" w:cs="Calibri"/>
          <w:color w:val="000000"/>
          <w:sz w:val="27"/>
          <w:szCs w:val="27"/>
        </w:rPr>
        <w:t>, Coordenadoria da Casa de Custódia- </w:t>
      </w:r>
      <w:r>
        <w:rPr>
          <w:rStyle w:val="Forte"/>
          <w:rFonts w:ascii="Calibri" w:eastAsiaTheme="majorEastAsia" w:hAnsi="Calibri" w:cs="Calibri"/>
          <w:color w:val="000000"/>
          <w:sz w:val="27"/>
          <w:szCs w:val="27"/>
        </w:rPr>
        <w:t>CCC</w:t>
      </w:r>
      <w:r>
        <w:rPr>
          <w:rFonts w:ascii="Calibri" w:hAnsi="Calibri" w:cs="Calibri"/>
          <w:color w:val="000000"/>
          <w:sz w:val="27"/>
          <w:szCs w:val="27"/>
        </w:rPr>
        <w:t xml:space="preserve">, </w:t>
      </w:r>
      <w:proofErr w:type="spellStart"/>
      <w:r>
        <w:rPr>
          <w:rFonts w:ascii="Calibri" w:hAnsi="Calibri" w:cs="Calibri"/>
          <w:color w:val="000000"/>
          <w:sz w:val="27"/>
          <w:szCs w:val="27"/>
        </w:rPr>
        <w:t>Ji-Parana</w:t>
      </w:r>
      <w:proofErr w:type="spellEnd"/>
      <w:r>
        <w:rPr>
          <w:rFonts w:ascii="Calibri" w:hAnsi="Calibri" w:cs="Calibri"/>
          <w:color w:val="000000"/>
          <w:sz w:val="27"/>
          <w:szCs w:val="27"/>
        </w:rPr>
        <w:t xml:space="preserve"> - GRS1, Cacoal - GRS2, Vilhena -GRS3 , Ariquemes-GRS-4, Rolim de Moura, -GRS5, CGAF,  CAF-I-CAF-II, Unidade de Saúde Social Fluvial Walter Bartolo- </w:t>
      </w:r>
      <w:r>
        <w:rPr>
          <w:rStyle w:val="Forte"/>
          <w:rFonts w:ascii="Calibri" w:eastAsiaTheme="majorEastAsia" w:hAnsi="Calibri" w:cs="Calibri"/>
          <w:color w:val="000000"/>
          <w:sz w:val="27"/>
          <w:szCs w:val="27"/>
        </w:rPr>
        <w:t>USSFBW,</w:t>
      </w:r>
      <w:r>
        <w:rPr>
          <w:rFonts w:ascii="Calibri" w:hAnsi="Calibri" w:cs="Calibri"/>
          <w:color w:val="000000"/>
          <w:sz w:val="27"/>
          <w:szCs w:val="27"/>
        </w:rPr>
        <w:t xml:space="preserve"> Coordenadoria de </w:t>
      </w:r>
      <w:proofErr w:type="spellStart"/>
      <w:r>
        <w:rPr>
          <w:rFonts w:ascii="Calibri" w:hAnsi="Calibri" w:cs="Calibri"/>
          <w:color w:val="000000"/>
          <w:sz w:val="27"/>
          <w:szCs w:val="27"/>
        </w:rPr>
        <w:t>Politicas</w:t>
      </w:r>
      <w:proofErr w:type="spellEnd"/>
      <w:r>
        <w:rPr>
          <w:rFonts w:ascii="Calibri" w:hAnsi="Calibri" w:cs="Calibri"/>
          <w:color w:val="000000"/>
          <w:sz w:val="27"/>
          <w:szCs w:val="27"/>
        </w:rPr>
        <w:t xml:space="preserve"> Sobre Drogas –</w:t>
      </w:r>
      <w:r>
        <w:rPr>
          <w:rStyle w:val="Forte"/>
          <w:rFonts w:ascii="Calibri" w:eastAsiaTheme="majorEastAsia" w:hAnsi="Calibri" w:cs="Calibri"/>
          <w:color w:val="000000"/>
          <w:sz w:val="27"/>
          <w:szCs w:val="27"/>
        </w:rPr>
        <w:t> CPOAD/SESAU</w:t>
      </w:r>
      <w:r>
        <w:rPr>
          <w:rFonts w:ascii="Calibri" w:hAnsi="Calibri" w:cs="Calibri"/>
          <w:color w:val="000000"/>
          <w:sz w:val="27"/>
          <w:szCs w:val="27"/>
        </w:rPr>
        <w:t>, Coordenadoria de Almoxarifado e Patrimônio -</w:t>
      </w:r>
      <w:r>
        <w:rPr>
          <w:rStyle w:val="Forte"/>
          <w:rFonts w:ascii="Calibri" w:eastAsiaTheme="majorEastAsia" w:hAnsi="Calibri" w:cs="Calibri"/>
          <w:color w:val="000000"/>
          <w:sz w:val="27"/>
          <w:szCs w:val="27"/>
        </w:rPr>
        <w:t>CAP</w:t>
      </w:r>
      <w:r>
        <w:rPr>
          <w:rFonts w:ascii="Calibri" w:hAnsi="Calibri" w:cs="Calibri"/>
          <w:color w:val="000000"/>
          <w:sz w:val="27"/>
          <w:szCs w:val="27"/>
        </w:rPr>
        <w:t>, Serviços Gerais/</w:t>
      </w:r>
      <w:r>
        <w:rPr>
          <w:rStyle w:val="Forte"/>
          <w:rFonts w:ascii="Calibri" w:eastAsiaTheme="majorEastAsia" w:hAnsi="Calibri" w:cs="Calibri"/>
          <w:color w:val="000000"/>
          <w:sz w:val="27"/>
          <w:szCs w:val="27"/>
        </w:rPr>
        <w:t>CPA</w:t>
      </w:r>
      <w:r>
        <w:rPr>
          <w:rFonts w:ascii="Calibri" w:hAnsi="Calibri" w:cs="Calibri"/>
          <w:color w:val="000000"/>
          <w:sz w:val="27"/>
          <w:szCs w:val="27"/>
        </w:rPr>
        <w:t>, Conselho de Políticas Públicas Sobre Drogas de Rondônia</w:t>
      </w:r>
      <w:r>
        <w:rPr>
          <w:rStyle w:val="Forte"/>
          <w:rFonts w:ascii="Calibri" w:eastAsiaTheme="majorEastAsia" w:hAnsi="Calibri" w:cs="Calibri"/>
          <w:color w:val="000000"/>
          <w:sz w:val="27"/>
          <w:szCs w:val="27"/>
        </w:rPr>
        <w:t>- CONEN</w:t>
      </w:r>
      <w:r>
        <w:rPr>
          <w:rFonts w:ascii="Calibri" w:hAnsi="Calibri" w:cs="Calibri"/>
          <w:color w:val="000000"/>
          <w:sz w:val="27"/>
          <w:szCs w:val="27"/>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1A014B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474AD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B0F8B01" w14:textId="2981988B"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Registro de Preços para Futura e Eventual Aquisição de </w:t>
      </w:r>
      <w:r>
        <w:rPr>
          <w:rStyle w:val="Forte"/>
          <w:rFonts w:ascii="Calibri" w:eastAsiaTheme="majorEastAsia" w:hAnsi="Calibri" w:cs="Calibri"/>
          <w:color w:val="000000"/>
          <w:sz w:val="27"/>
          <w:szCs w:val="27"/>
        </w:rPr>
        <w:t>Água Mineral  Garrafão de 20 litros /Garrafa Pet de 500 ml, </w:t>
      </w:r>
      <w:r>
        <w:rPr>
          <w:rFonts w:ascii="Calibri" w:hAnsi="Calibri" w:cs="Calibri"/>
          <w:color w:val="000000"/>
          <w:sz w:val="27"/>
          <w:szCs w:val="27"/>
        </w:rPr>
        <w:t>para atender as necessidades dos setores vinculados a Secretária de Estado da Saúde - SESAU: Hospital de Base Dr. Ary Pinheiro - </w:t>
      </w:r>
      <w:r>
        <w:rPr>
          <w:rStyle w:val="Forte"/>
          <w:rFonts w:ascii="Calibri" w:eastAsiaTheme="majorEastAsia" w:hAnsi="Calibri" w:cs="Calibri"/>
          <w:color w:val="000000"/>
          <w:sz w:val="27"/>
          <w:szCs w:val="27"/>
        </w:rPr>
        <w:t>HBAP, </w:t>
      </w:r>
      <w:r>
        <w:rPr>
          <w:rFonts w:ascii="Calibri" w:hAnsi="Calibri" w:cs="Calibri"/>
          <w:color w:val="000000"/>
          <w:sz w:val="27"/>
          <w:szCs w:val="27"/>
        </w:rPr>
        <w:t>Hospital Infantil Cosme e Damião - </w:t>
      </w:r>
      <w:r>
        <w:rPr>
          <w:rStyle w:val="Forte"/>
          <w:rFonts w:ascii="Calibri" w:eastAsiaTheme="majorEastAsia" w:hAnsi="Calibri" w:cs="Calibri"/>
          <w:color w:val="000000"/>
          <w:sz w:val="27"/>
          <w:szCs w:val="27"/>
        </w:rPr>
        <w:t>HICD, </w:t>
      </w:r>
      <w:r>
        <w:rPr>
          <w:rFonts w:ascii="Calibri" w:hAnsi="Calibri" w:cs="Calibri"/>
          <w:color w:val="000000"/>
          <w:sz w:val="27"/>
          <w:szCs w:val="27"/>
        </w:rPr>
        <w:t> Hospital de Pronto Socorro João Paulo II</w:t>
      </w:r>
      <w:r>
        <w:rPr>
          <w:rFonts w:ascii="Calibri" w:hAnsi="Calibri" w:cs="Calibri"/>
          <w:b/>
          <w:bCs/>
          <w:color w:val="000000"/>
          <w:sz w:val="27"/>
          <w:szCs w:val="27"/>
        </w:rPr>
        <w:t> - </w:t>
      </w:r>
      <w:r>
        <w:rPr>
          <w:rStyle w:val="Forte"/>
          <w:rFonts w:ascii="Calibri" w:eastAsiaTheme="majorEastAsia" w:hAnsi="Calibri" w:cs="Calibri"/>
          <w:color w:val="000000"/>
          <w:sz w:val="27"/>
          <w:szCs w:val="27"/>
        </w:rPr>
        <w:t>HPSJP-II</w:t>
      </w:r>
      <w:r>
        <w:rPr>
          <w:rFonts w:ascii="Calibri" w:hAnsi="Calibri" w:cs="Calibri"/>
          <w:color w:val="000000"/>
          <w:sz w:val="27"/>
          <w:szCs w:val="27"/>
        </w:rPr>
        <w:t>, Unidade de Assistência Médica Intensiva - </w:t>
      </w:r>
      <w:r>
        <w:rPr>
          <w:rStyle w:val="Forte"/>
          <w:rFonts w:ascii="Calibri" w:eastAsiaTheme="majorEastAsia" w:hAnsi="Calibri" w:cs="Calibri"/>
          <w:color w:val="000000"/>
          <w:sz w:val="27"/>
          <w:szCs w:val="27"/>
        </w:rPr>
        <w:t>AMI, </w:t>
      </w:r>
      <w:r>
        <w:rPr>
          <w:rFonts w:ascii="Calibri" w:hAnsi="Calibri" w:cs="Calibri"/>
          <w:color w:val="000000"/>
          <w:sz w:val="27"/>
          <w:szCs w:val="27"/>
        </w:rPr>
        <w:t>Centro de Medicina Tropical de Rondônia- </w:t>
      </w:r>
      <w:r>
        <w:rPr>
          <w:rStyle w:val="Forte"/>
          <w:rFonts w:ascii="Calibri" w:eastAsiaTheme="majorEastAsia" w:hAnsi="Calibri" w:cs="Calibri"/>
          <w:color w:val="000000"/>
          <w:sz w:val="27"/>
          <w:szCs w:val="27"/>
        </w:rPr>
        <w:t>CEMETRON</w:t>
      </w:r>
      <w:r>
        <w:rPr>
          <w:rFonts w:ascii="Calibri" w:hAnsi="Calibri" w:cs="Calibri"/>
          <w:color w:val="000000"/>
          <w:sz w:val="27"/>
          <w:szCs w:val="27"/>
        </w:rPr>
        <w:t>, Policlínica Oswaldo Cruz -</w:t>
      </w:r>
      <w:r>
        <w:rPr>
          <w:rStyle w:val="Forte"/>
          <w:rFonts w:ascii="Calibri" w:eastAsiaTheme="majorEastAsia" w:hAnsi="Calibri" w:cs="Calibri"/>
          <w:color w:val="000000"/>
          <w:sz w:val="27"/>
          <w:szCs w:val="27"/>
        </w:rPr>
        <w:t> POC</w:t>
      </w:r>
      <w:r>
        <w:rPr>
          <w:rFonts w:ascii="Calibri" w:hAnsi="Calibri" w:cs="Calibri"/>
          <w:color w:val="000000"/>
          <w:sz w:val="27"/>
          <w:szCs w:val="27"/>
        </w:rPr>
        <w:t>, Complexo Hospitalar Regional de Cacoal - </w:t>
      </w:r>
      <w:r>
        <w:rPr>
          <w:rStyle w:val="Forte"/>
          <w:rFonts w:ascii="Calibri" w:eastAsiaTheme="majorEastAsia" w:hAnsi="Calibri" w:cs="Calibri"/>
          <w:color w:val="000000"/>
          <w:sz w:val="27"/>
          <w:szCs w:val="27"/>
        </w:rPr>
        <w:t>COHREC</w:t>
      </w:r>
      <w:r>
        <w:rPr>
          <w:rFonts w:ascii="Calibri" w:hAnsi="Calibri" w:cs="Calibri"/>
          <w:color w:val="000000"/>
          <w:sz w:val="27"/>
          <w:szCs w:val="27"/>
        </w:rPr>
        <w:t>, Hospital Regional de Cacoal - </w:t>
      </w:r>
      <w:r>
        <w:rPr>
          <w:rStyle w:val="Forte"/>
          <w:rFonts w:ascii="Calibri" w:eastAsiaTheme="majorEastAsia" w:hAnsi="Calibri" w:cs="Calibri"/>
          <w:color w:val="000000"/>
          <w:sz w:val="27"/>
          <w:szCs w:val="27"/>
        </w:rPr>
        <w:t>HRC</w:t>
      </w:r>
      <w:r>
        <w:rPr>
          <w:rFonts w:ascii="Calibri" w:hAnsi="Calibri" w:cs="Calibri"/>
          <w:color w:val="000000"/>
          <w:sz w:val="27"/>
          <w:szCs w:val="27"/>
        </w:rPr>
        <w:t>, Hospital Regional de Extrema -  </w:t>
      </w:r>
      <w:r>
        <w:rPr>
          <w:rStyle w:val="Forte"/>
          <w:rFonts w:ascii="Calibri" w:eastAsiaTheme="majorEastAsia" w:hAnsi="Calibri" w:cs="Calibri"/>
          <w:color w:val="000000"/>
          <w:sz w:val="27"/>
          <w:szCs w:val="27"/>
        </w:rPr>
        <w:t>HRE</w:t>
      </w:r>
      <w:r>
        <w:rPr>
          <w:rFonts w:ascii="Calibri" w:hAnsi="Calibri" w:cs="Calibri"/>
          <w:color w:val="000000"/>
          <w:sz w:val="27"/>
          <w:szCs w:val="27"/>
        </w:rPr>
        <w:t>, Hospital Regional de Buritis - </w:t>
      </w:r>
      <w:r>
        <w:rPr>
          <w:rStyle w:val="Forte"/>
          <w:rFonts w:ascii="Calibri" w:eastAsiaTheme="majorEastAsia" w:hAnsi="Calibri" w:cs="Calibri"/>
          <w:color w:val="000000"/>
          <w:sz w:val="27"/>
          <w:szCs w:val="27"/>
        </w:rPr>
        <w:t> HRB</w:t>
      </w:r>
      <w:r>
        <w:rPr>
          <w:rFonts w:ascii="Calibri" w:hAnsi="Calibri" w:cs="Calibri"/>
          <w:color w:val="000000"/>
          <w:sz w:val="27"/>
          <w:szCs w:val="27"/>
        </w:rPr>
        <w:t>, Hospital de Campanha de Rondônia - </w:t>
      </w:r>
      <w:r>
        <w:rPr>
          <w:rStyle w:val="Forte"/>
          <w:rFonts w:ascii="Calibri" w:eastAsiaTheme="majorEastAsia" w:hAnsi="Calibri" w:cs="Calibri"/>
          <w:color w:val="000000"/>
          <w:sz w:val="27"/>
          <w:szCs w:val="27"/>
        </w:rPr>
        <w:t xml:space="preserve">Regina </w:t>
      </w:r>
      <w:proofErr w:type="spellStart"/>
      <w:r>
        <w:rPr>
          <w:rStyle w:val="Forte"/>
          <w:rFonts w:ascii="Calibri" w:eastAsiaTheme="majorEastAsia" w:hAnsi="Calibri" w:cs="Calibri"/>
          <w:color w:val="000000"/>
          <w:sz w:val="27"/>
          <w:szCs w:val="27"/>
        </w:rPr>
        <w:t>Pacis</w:t>
      </w:r>
      <w:proofErr w:type="spellEnd"/>
      <w:r>
        <w:rPr>
          <w:rFonts w:ascii="Calibri" w:hAnsi="Calibri" w:cs="Calibri"/>
          <w:color w:val="000000"/>
          <w:sz w:val="27"/>
          <w:szCs w:val="27"/>
        </w:rPr>
        <w:t>, Coordenadoria da Casa de Custódia- </w:t>
      </w:r>
      <w:r>
        <w:rPr>
          <w:rStyle w:val="Forte"/>
          <w:rFonts w:ascii="Calibri" w:eastAsiaTheme="majorEastAsia" w:hAnsi="Calibri" w:cs="Calibri"/>
          <w:color w:val="000000"/>
          <w:sz w:val="27"/>
          <w:szCs w:val="27"/>
        </w:rPr>
        <w:t>CCC</w:t>
      </w:r>
      <w:r>
        <w:rPr>
          <w:rFonts w:ascii="Calibri" w:hAnsi="Calibri" w:cs="Calibri"/>
          <w:color w:val="000000"/>
          <w:sz w:val="27"/>
          <w:szCs w:val="27"/>
        </w:rPr>
        <w:t>, Ji-Paran</w:t>
      </w:r>
      <w:r w:rsidR="00B2200A">
        <w:rPr>
          <w:rFonts w:ascii="Calibri" w:hAnsi="Calibri" w:cs="Calibri"/>
          <w:color w:val="000000"/>
          <w:sz w:val="27"/>
          <w:szCs w:val="27"/>
        </w:rPr>
        <w:t xml:space="preserve">á </w:t>
      </w:r>
      <w:r>
        <w:rPr>
          <w:rFonts w:ascii="Calibri" w:hAnsi="Calibri" w:cs="Calibri"/>
          <w:color w:val="000000"/>
          <w:sz w:val="27"/>
          <w:szCs w:val="27"/>
        </w:rPr>
        <w:t xml:space="preserve"> - GRS1, Cacoal - GRS2, Vilhena -GRS3 , Ariquemes-GRS-4, Rolim de Moura, -GRS5, CGAF,  CAF-I-CAF-II, Unidade de Saúde Social Fluvial Walter Bartolo- </w:t>
      </w:r>
      <w:r>
        <w:rPr>
          <w:rStyle w:val="Forte"/>
          <w:rFonts w:ascii="Calibri" w:eastAsiaTheme="majorEastAsia" w:hAnsi="Calibri" w:cs="Calibri"/>
          <w:color w:val="000000"/>
          <w:sz w:val="27"/>
          <w:szCs w:val="27"/>
        </w:rPr>
        <w:t>USSFBW,</w:t>
      </w:r>
      <w:r>
        <w:rPr>
          <w:rFonts w:ascii="Calibri" w:hAnsi="Calibri" w:cs="Calibri"/>
          <w:color w:val="000000"/>
          <w:sz w:val="27"/>
          <w:szCs w:val="27"/>
        </w:rPr>
        <w:t xml:space="preserve"> Coordenadoria de </w:t>
      </w:r>
      <w:proofErr w:type="spellStart"/>
      <w:r>
        <w:rPr>
          <w:rFonts w:ascii="Calibri" w:hAnsi="Calibri" w:cs="Calibri"/>
          <w:color w:val="000000"/>
          <w:sz w:val="27"/>
          <w:szCs w:val="27"/>
        </w:rPr>
        <w:t>Politicas</w:t>
      </w:r>
      <w:proofErr w:type="spellEnd"/>
      <w:r>
        <w:rPr>
          <w:rFonts w:ascii="Calibri" w:hAnsi="Calibri" w:cs="Calibri"/>
          <w:color w:val="000000"/>
          <w:sz w:val="27"/>
          <w:szCs w:val="27"/>
        </w:rPr>
        <w:t xml:space="preserve"> Sobre Drogas –</w:t>
      </w:r>
      <w:r>
        <w:rPr>
          <w:rStyle w:val="Forte"/>
          <w:rFonts w:ascii="Calibri" w:eastAsiaTheme="majorEastAsia" w:hAnsi="Calibri" w:cs="Calibri"/>
          <w:color w:val="000000"/>
          <w:sz w:val="27"/>
          <w:szCs w:val="27"/>
        </w:rPr>
        <w:t> CPOAD/SESAU</w:t>
      </w:r>
      <w:r>
        <w:rPr>
          <w:rFonts w:ascii="Calibri" w:hAnsi="Calibri" w:cs="Calibri"/>
          <w:color w:val="000000"/>
          <w:sz w:val="27"/>
          <w:szCs w:val="27"/>
        </w:rPr>
        <w:t>, Coordenadoria de Almoxarifado e Patrimônio -</w:t>
      </w:r>
      <w:r>
        <w:rPr>
          <w:rStyle w:val="Forte"/>
          <w:rFonts w:ascii="Calibri" w:eastAsiaTheme="majorEastAsia" w:hAnsi="Calibri" w:cs="Calibri"/>
          <w:color w:val="000000"/>
          <w:sz w:val="27"/>
          <w:szCs w:val="27"/>
        </w:rPr>
        <w:t>CAP</w:t>
      </w:r>
      <w:r>
        <w:rPr>
          <w:rFonts w:ascii="Calibri" w:hAnsi="Calibri" w:cs="Calibri"/>
          <w:color w:val="000000"/>
          <w:sz w:val="27"/>
          <w:szCs w:val="27"/>
        </w:rPr>
        <w:t>, Serviços Gerais/</w:t>
      </w:r>
      <w:r>
        <w:rPr>
          <w:rStyle w:val="Forte"/>
          <w:rFonts w:ascii="Calibri" w:eastAsiaTheme="majorEastAsia" w:hAnsi="Calibri" w:cs="Calibri"/>
          <w:color w:val="000000"/>
          <w:sz w:val="27"/>
          <w:szCs w:val="27"/>
        </w:rPr>
        <w:t>CPA</w:t>
      </w:r>
      <w:r>
        <w:rPr>
          <w:rFonts w:ascii="Calibri" w:hAnsi="Calibri" w:cs="Calibri"/>
          <w:color w:val="000000"/>
          <w:sz w:val="27"/>
          <w:szCs w:val="27"/>
        </w:rPr>
        <w:t>, Conselho de Políticas Públicas Sobre Drogas de Rondônia</w:t>
      </w:r>
      <w:r>
        <w:rPr>
          <w:rStyle w:val="Forte"/>
          <w:rFonts w:ascii="Calibri" w:eastAsiaTheme="majorEastAsia" w:hAnsi="Calibri" w:cs="Calibri"/>
          <w:color w:val="000000"/>
          <w:sz w:val="27"/>
          <w:szCs w:val="27"/>
        </w:rPr>
        <w:t>- CONEN</w:t>
      </w:r>
      <w:r>
        <w:rPr>
          <w:rFonts w:ascii="Calibri" w:hAnsi="Calibri" w:cs="Calibri"/>
          <w:color w:val="000000"/>
          <w:sz w:val="27"/>
          <w:szCs w:val="27"/>
        </w:rPr>
        <w:t>.</w:t>
      </w:r>
    </w:p>
    <w:p w14:paraId="6E5457D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BBA37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D7AA82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592BD0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96AD151"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ED027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C847A9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1604AF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28206C"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C70A86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8F930B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CF9AD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9746F0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2D3D3C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37065A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9F8111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CB4179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3F8CD5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EAA79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72C715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F062CB7"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AEE553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Entrega total dos materiais será de até 30 (trinta) dias após o recebimento da Nota de Empenho.</w:t>
      </w:r>
    </w:p>
    <w:p w14:paraId="144774F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produtos deverão ser </w:t>
      </w:r>
      <w:proofErr w:type="gramStart"/>
      <w:r>
        <w:rPr>
          <w:rFonts w:ascii="Calibri" w:hAnsi="Calibri" w:cs="Calibri"/>
          <w:color w:val="000000"/>
          <w:sz w:val="27"/>
          <w:szCs w:val="27"/>
        </w:rPr>
        <w:t>entregue</w:t>
      </w:r>
      <w:proofErr w:type="gramEnd"/>
      <w:r>
        <w:rPr>
          <w:rFonts w:ascii="Calibri" w:hAnsi="Calibri" w:cs="Calibri"/>
          <w:color w:val="000000"/>
          <w:sz w:val="27"/>
          <w:szCs w:val="27"/>
        </w:rPr>
        <w:t>,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145E459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9FF43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667C2D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5AA46B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0678C1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F75E4E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8DB8BF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9959451"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67BE7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903C42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89315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358A6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30C528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AC830E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a parte inadimplida.</w:t>
      </w:r>
    </w:p>
    <w:p w14:paraId="1D099E5C"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150CF3FC"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CF8C5B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EC6D08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C3AC85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4623E69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9.8. </w:t>
      </w:r>
      <w:r>
        <w:rPr>
          <w:rFonts w:ascii="Calibri" w:hAnsi="Calibri" w:cs="Calibri"/>
          <w:color w:val="000000"/>
          <w:sz w:val="27"/>
          <w:szCs w:val="27"/>
        </w:rPr>
        <w:t>São exemplos de infração administrativa penalizáveis, nos termos da Lei nº 8.666, de 1993, da Lei nº 10.520, de 2002, do Decreto nº 3.555, de 2000, e do Decreto nº 10.024 de 2019:</w:t>
      </w:r>
    </w:p>
    <w:p w14:paraId="6A52829A" w14:textId="77777777" w:rsidR="002D01BF" w:rsidRDefault="002D01BF" w:rsidP="002D01BF">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 Inexecução total ou parcial do contrato;</w:t>
      </w:r>
    </w:p>
    <w:p w14:paraId="7A6933EB" w14:textId="77777777" w:rsidR="002D01BF" w:rsidRDefault="002D01BF" w:rsidP="002D01BF">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 Apresentação de documentação falsa;</w:t>
      </w:r>
    </w:p>
    <w:p w14:paraId="30F9C6BE" w14:textId="77777777" w:rsidR="002D01BF" w:rsidRDefault="002D01BF" w:rsidP="002D01BF">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 Comportamento inidôneo;</w:t>
      </w:r>
    </w:p>
    <w:p w14:paraId="794A30F9" w14:textId="77777777" w:rsidR="002D01BF" w:rsidRDefault="002D01BF" w:rsidP="002D01BF">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 Fraude fiscal;</w:t>
      </w:r>
    </w:p>
    <w:p w14:paraId="2E45CB60" w14:textId="77777777" w:rsidR="002D01BF" w:rsidRDefault="002D01BF" w:rsidP="002D01BF">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 Descumprimento de qualquer dos deveres elencados no Edital ou no Contrato.</w:t>
      </w:r>
    </w:p>
    <w:p w14:paraId="4697F2B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E477CAC"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786A7A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73DB85D7"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47AA7BD2"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25D04B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58B1A7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482A7A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sanção será obrigatoriamente registrada no Sistema de Cadastramento Unificado de Fornecedores – SICAF, bem como em sistemas Estaduais.</w:t>
      </w:r>
    </w:p>
    <w:p w14:paraId="5367D2C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9.17. 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10E971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Tenham sofrido condenações definitivas por praticarem, por meio dolosos, fraude fiscal no recolhimento de tributos;</w:t>
      </w:r>
    </w:p>
    <w:p w14:paraId="37C6B23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proofErr w:type="spellStart"/>
      <w:r>
        <w:rPr>
          <w:rFonts w:ascii="Calibri" w:hAnsi="Calibri" w:cs="Calibri"/>
          <w:color w:val="000000"/>
          <w:sz w:val="27"/>
          <w:szCs w:val="27"/>
        </w:rPr>
        <w:t>enham</w:t>
      </w:r>
      <w:proofErr w:type="spellEnd"/>
      <w:r>
        <w:rPr>
          <w:rFonts w:ascii="Calibri" w:hAnsi="Calibri" w:cs="Calibri"/>
          <w:color w:val="000000"/>
          <w:sz w:val="27"/>
          <w:szCs w:val="27"/>
        </w:rPr>
        <w:t xml:space="preserve"> praticado atos ilícitos visando a frustrar os objetivos da licitação;</w:t>
      </w:r>
    </w:p>
    <w:p w14:paraId="5CB064B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Demonstrem não possuir idoneidade para contratar com a Administração em virtude de atos ilícitos praticados.</w:t>
      </w:r>
    </w:p>
    <w:p w14:paraId="76148DC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91031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F2F2D9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FF4DD3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FD734EA"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E15B5B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1EA37D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16C98E2"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E31D9E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81A84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E204DB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851E3E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8A11C3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7C52BA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22850D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FB1A077"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C65F20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E041AF7"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8B56B1"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289796E"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F041C1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BB79CB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E03EEF2"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7F2AB4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3A1BC41"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EBFCDF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F4CAFE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C061054"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FAD62D2"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9B4F95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CD68E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93E1CB1"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EDF83A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FCB415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3976B9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3069143"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DFF8D49"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6FDBEA1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B0FDAD"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B00B70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É participante desta ata o seguinte órgão pertencente à Administração Pública do Estado de Rondônia:</w:t>
      </w:r>
    </w:p>
    <w:p w14:paraId="257A77F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Secretária de Estado da Saúde - SESAU.</w:t>
      </w:r>
    </w:p>
    <w:p w14:paraId="6657F75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B8DDE8"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A25FF8B"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EC977C6"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204BF92"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B36194F"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575BA4C"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78E435"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8D77CA0" w14:textId="77777777" w:rsidR="002D01BF" w:rsidRDefault="002D01BF" w:rsidP="002D0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BAA82" w14:textId="5DD4E8E1" w:rsidR="00BA72A0" w:rsidRDefault="00BA72A0" w:rsidP="002D01BF">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lastRenderedPageBreak/>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3317</Words>
  <Characters>18469</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4</cp:revision>
  <cp:lastPrinted>2019-12-30T17:05:00Z</cp:lastPrinted>
  <dcterms:created xsi:type="dcterms:W3CDTF">2021-09-24T15:18:00Z</dcterms:created>
  <dcterms:modified xsi:type="dcterms:W3CDTF">2021-09-24T15:35:00Z</dcterms:modified>
</cp:coreProperties>
</file>