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8736E92" w14:textId="77777777" w:rsidR="00CD3689" w:rsidRDefault="00677763" w:rsidP="00CD3689">
      <w:pPr>
        <w:pStyle w:val="textocentralizadomaiusculasnegrito"/>
        <w:jc w:val="center"/>
        <w:rPr>
          <w:rFonts w:ascii="Calibri" w:hAnsi="Calibri" w:cs="Calibri"/>
          <w:b/>
          <w:bCs/>
          <w:caps/>
          <w:color w:val="000000"/>
          <w:sz w:val="26"/>
          <w:szCs w:val="26"/>
        </w:rPr>
      </w:pPr>
      <w:r>
        <w:rPr>
          <w:b/>
          <w:bCs/>
          <w:color w:val="000000"/>
          <w:sz w:val="27"/>
          <w:szCs w:val="27"/>
        </w:rPr>
        <w:br/>
      </w:r>
      <w:r w:rsidR="00CD3689">
        <w:rPr>
          <w:rStyle w:val="Forte"/>
          <w:rFonts w:ascii="Calibri" w:eastAsiaTheme="majorEastAsia" w:hAnsi="Calibri" w:cs="Calibri"/>
          <w:caps/>
          <w:color w:val="000000"/>
        </w:rPr>
        <w:t>AVISO DE PUBLICAÇÃO</w:t>
      </w:r>
    </w:p>
    <w:p w14:paraId="2F65C39D"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0E191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172/2021</w:t>
      </w:r>
    </w:p>
    <w:p w14:paraId="2DE4F33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155/2021</w:t>
      </w:r>
    </w:p>
    <w:p w14:paraId="4352CAC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inorEastAsia"/>
            <w:sz w:val="27"/>
            <w:szCs w:val="27"/>
          </w:rPr>
          <w:t>0036.418995/2020-14</w:t>
        </w:r>
      </w:hyperlink>
    </w:p>
    <w:p w14:paraId="5A396F8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77B1C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Material de Limpeza ( água sanitária, álcool etílico, alvejante, limpador multiuso, aromatizante, entre outros) para atender Hospital de Base Dr. Ary Pinheiro - HBAP, Hospital Infantil Cosme e Damião - HICD,  Hospital de Pronto Socorro João Paulo II - HPSJP-II, Unidade de Assistência Médica Intensiva - AMI, Serviço de Assistência Multidisciplinar Domiciliar - SAMD, Centro de Medicina Tropical de Rondônia- CEMETRON, Policlínica Oswaldo Cruz - POC, Complexo Hospitalar Regional de Cacoal - COHREC, Hospital Regional de Cacoal - HRC, Hospital Regional de Extrema -  HRE, Hospital Regional de Buritis -  HRB, Hospital Regional de São Francisco do Guaporé - HRSFG , Hospital de Campanha de Rondônia - Regina Pacis, Hospital de Campanha Zona Leste - CERO, Serviços de Residência Terapêutica - SRT, Cacoal - GRS2, Vilhena -GRS3 , Ariquemes-GRS-4, Rolim de Moura, -GRS5, Porto Velho - GRS6, Serviços Gerais, CGAF,  CAF-I-CAF-II, Unidade de Saúde Social Fluvial Walter Bartolo- USSFBW. vinculados a Secretaria de Estado da Saúde - </w:t>
      </w:r>
      <w:r>
        <w:rPr>
          <w:rStyle w:val="Forte"/>
          <w:rFonts w:eastAsiaTheme="majorEastAsia"/>
          <w:color w:val="000000"/>
          <w:sz w:val="27"/>
          <w:szCs w:val="27"/>
        </w:rPr>
        <w:t>SESAU</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2ED150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4CD501"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5A94864A"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Registro de Preços visando à futura, eventual  Aquisição de Material de Limpeza ( água sanitária, álcool etílico, alvejante, limpador multiuso, aromatizante, entre outros) para atender Hospital de Base Dr. Ary Pinheiro - HBAP, Hospital Infantil Cosme e Damião - HICD,  Hospital de Pronto Socorro João Paulo II - HPSJP-II, Unidade de Assistência Médica Intensiva - AMI, Serviço de Assistência Multidisciplinar Domiciliar - SAMD, Centro de Medicina Tropical de Rondônia- CEMETRON, Policlínica Oswaldo Cruz - POC, Complexo Hospitalar Regional de Cacoal - COHREC, Hospital Regional de Cacoal - HRC, Hospital Regional de Extrema -  HRE, Hospital Regional de Buritis -  HRB, Hospital Regional de São Francisco do Guaporé - HRSFG , Hospital de Campanha de Rondônia - Regina Pacis, Hospital de Campanha Zona Leste - CERO, Serviços de Residência Terapêutica - SRT, Cacoal - GRS2, Vilhena -GRS3 , Ariquemes-GRS-4, Rolim de Moura, -GRS5, Porto Velho - GRS6, Serviços Gerais, CGAF,  CAF-I-CAF-II, Unidade de Saúde Social Fluvial Walter Bartolo- USSFBW. vinculados a Secretaria de Estado da Saúde - </w:t>
      </w:r>
      <w:r>
        <w:rPr>
          <w:rStyle w:val="Forte"/>
          <w:rFonts w:eastAsiaTheme="majorEastAsia"/>
          <w:color w:val="000000"/>
          <w:sz w:val="27"/>
          <w:szCs w:val="27"/>
        </w:rPr>
        <w:t>SESAU</w:t>
      </w:r>
      <w:r>
        <w:rPr>
          <w:color w:val="000000"/>
          <w:sz w:val="27"/>
          <w:szCs w:val="27"/>
        </w:rPr>
        <w:t>.</w:t>
      </w:r>
    </w:p>
    <w:p w14:paraId="0EF0B9B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410C25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51FBA9C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3EACA63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00712F9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13AD89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19940FEC"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033816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2F8122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71DCB66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3B4EB0FD"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E8A177"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7B873DF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0E61814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4DAA4CF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1956E84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361A027A"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1EDDC08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2F324A"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79A90C6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654DF59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7AD31C1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Entrega total dos materiais será de até 30 (trinta) dias após o recebimento da Nota de Empenho.</w:t>
      </w:r>
    </w:p>
    <w:p w14:paraId="0FE9525C"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0509494D"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04DB31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FDC41F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4FDB549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2C48A64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7A1FDCF0"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336BD9A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4B8995E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848047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7DE07C1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80521A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E8A60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9. DAS SANÇÕES </w:t>
      </w:r>
    </w:p>
    <w:p w14:paraId="63377599"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w:t>
      </w:r>
      <w:r>
        <w:rPr>
          <w:rFonts w:ascii="Calibri" w:hAnsi="Calibri" w:cs="Calibri"/>
          <w:color w:val="000000"/>
          <w:sz w:val="27"/>
          <w:szCs w:val="27"/>
        </w:rPr>
        <w:br/>
        <w:t>garanta a prévia e ampla defesa, aplicar à CONTRATADA multa de até 10% (dez por cento) sobre o valor da parte inadimplida</w:t>
      </w:r>
    </w:p>
    <w:p w14:paraId="61A75ADA"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garanta a prévia e ampla defesa, aplicar à CONTRATADA multa de até 10% (dez por cento) sobre a parte inadimplida.</w:t>
      </w:r>
    </w:p>
    <w:p w14:paraId="6C554917"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w:t>
      </w:r>
      <w:proofErr w:type="spellStart"/>
      <w:r>
        <w:rPr>
          <w:rFonts w:ascii="Calibri" w:hAnsi="Calibri" w:cs="Calibri"/>
          <w:color w:val="000000"/>
          <w:sz w:val="27"/>
          <w:szCs w:val="27"/>
        </w:rPr>
        <w:t>proposta,falhar</w:t>
      </w:r>
      <w:proofErr w:type="spellEnd"/>
      <w:r>
        <w:rPr>
          <w:rFonts w:ascii="Calibri" w:hAnsi="Calibri" w:cs="Calibri"/>
          <w:color w:val="000000"/>
          <w:sz w:val="27"/>
          <w:szCs w:val="27"/>
        </w:rPr>
        <w:t xml:space="preserve">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1EE1E6C7"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garanta. Mantendo-se o insucesso, seus dados serão encaminhados ao órgão competente para que seja inscrita na dívida </w:t>
      </w:r>
      <w:proofErr w:type="spellStart"/>
      <w:r>
        <w:rPr>
          <w:rFonts w:ascii="Calibri" w:hAnsi="Calibri" w:cs="Calibri"/>
          <w:color w:val="000000"/>
          <w:sz w:val="27"/>
          <w:szCs w:val="27"/>
        </w:rPr>
        <w:t>ava</w:t>
      </w:r>
      <w:proofErr w:type="spellEnd"/>
      <w:r>
        <w:rPr>
          <w:rFonts w:ascii="Calibri" w:hAnsi="Calibri" w:cs="Calibri"/>
          <w:color w:val="000000"/>
          <w:sz w:val="27"/>
          <w:szCs w:val="27"/>
        </w:rPr>
        <w:t>, podendo, ainda a Administração proceder à cobrança judicial.</w:t>
      </w:r>
    </w:p>
    <w:p w14:paraId="5B5F17AA"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w:t>
      </w:r>
      <w:r>
        <w:rPr>
          <w:rFonts w:ascii="Calibri" w:hAnsi="Calibri" w:cs="Calibri"/>
          <w:color w:val="000000"/>
          <w:sz w:val="27"/>
          <w:szCs w:val="27"/>
        </w:rPr>
        <w:br/>
        <w:t>punível venha causar à Administração.</w:t>
      </w:r>
    </w:p>
    <w:p w14:paraId="6A1BB783"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45C05DD"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959D0FF"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administrava penalizáveis, nos termos da Lei nº 8.666, de 1993, da Lei nº 10.520, de 2002, do Decreto nº 3.555, de 2000, e do Decreto nº 10.024 de 2019:</w:t>
      </w:r>
    </w:p>
    <w:p w14:paraId="25B374B8"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Inexecução total ou parcial do contrato;</w:t>
      </w:r>
      <w:r>
        <w:rPr>
          <w:rFonts w:ascii="Calibri" w:hAnsi="Calibri" w:cs="Calibri"/>
          <w:color w:val="000000"/>
          <w:sz w:val="27"/>
          <w:szCs w:val="27"/>
        </w:rPr>
        <w:br/>
        <w:t>- Apresentação de documentação falsa;</w:t>
      </w:r>
      <w:r>
        <w:rPr>
          <w:rFonts w:ascii="Calibri" w:hAnsi="Calibri" w:cs="Calibri"/>
          <w:color w:val="000000"/>
          <w:sz w:val="27"/>
          <w:szCs w:val="27"/>
        </w:rPr>
        <w:br/>
        <w:t>- Comportamento inidôneo;</w:t>
      </w:r>
      <w:r>
        <w:rPr>
          <w:rFonts w:ascii="Calibri" w:hAnsi="Calibri" w:cs="Calibri"/>
          <w:color w:val="000000"/>
          <w:sz w:val="27"/>
          <w:szCs w:val="27"/>
        </w:rPr>
        <w:br/>
        <w:t>- Fraude fiscal;</w:t>
      </w:r>
      <w:r>
        <w:rPr>
          <w:rFonts w:ascii="Calibri" w:hAnsi="Calibri" w:cs="Calibri"/>
          <w:color w:val="000000"/>
          <w:sz w:val="27"/>
          <w:szCs w:val="27"/>
        </w:rPr>
        <w:br/>
        <w:t>- Descumprimento de qualquer dos deveres elencados no Edital ou no Contrato.</w:t>
      </w:r>
    </w:p>
    <w:p w14:paraId="70918584"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9.9. As sanções serão aplicadas sem prejuízo da responsabilidade civil e criminal que possa ser acionada em desfavor da CONTRATADA, conforme infração </w:t>
      </w:r>
      <w:proofErr w:type="spellStart"/>
      <w:r>
        <w:rPr>
          <w:rFonts w:ascii="Calibri" w:hAnsi="Calibri" w:cs="Calibri"/>
          <w:color w:val="000000"/>
          <w:sz w:val="27"/>
          <w:szCs w:val="27"/>
        </w:rPr>
        <w:t>comeda</w:t>
      </w:r>
      <w:proofErr w:type="spellEnd"/>
      <w:r>
        <w:rPr>
          <w:rFonts w:ascii="Calibri" w:hAnsi="Calibri" w:cs="Calibri"/>
          <w:color w:val="000000"/>
          <w:sz w:val="27"/>
          <w:szCs w:val="27"/>
        </w:rPr>
        <w:t xml:space="preserve"> e prejuízos causados à administração ou a terceiros.</w:t>
      </w:r>
    </w:p>
    <w:p w14:paraId="19BC0E85"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9.10.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E85B7A4"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05 (cinco) dias úteis.</w:t>
      </w:r>
    </w:p>
    <w:p w14:paraId="4AE2F8AD"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w:t>
      </w:r>
    </w:p>
    <w:p w14:paraId="006AE67C"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w:t>
      </w:r>
      <w:r>
        <w:rPr>
          <w:rFonts w:ascii="Calibri" w:hAnsi="Calibri" w:cs="Calibri"/>
          <w:color w:val="000000"/>
          <w:sz w:val="27"/>
          <w:szCs w:val="27"/>
        </w:rPr>
        <w:br/>
        <w:t>cobrança na forma prevista em lei.</w:t>
      </w:r>
    </w:p>
    <w:p w14:paraId="2018CA29"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21059B0"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784DB5A0"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583DA6F2"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o órgão licitante e de declaração de inidoneidade,</w:t>
      </w:r>
      <w:r>
        <w:rPr>
          <w:rFonts w:ascii="Calibri" w:hAnsi="Calibri" w:cs="Calibri"/>
          <w:color w:val="000000"/>
          <w:sz w:val="27"/>
          <w:szCs w:val="27"/>
        </w:rPr>
        <w:br/>
        <w:t>previstas no subitem anterior, as empresas ou profissionais que, em razão do contrato decorrente desta licitação:</w:t>
      </w:r>
    </w:p>
    <w:p w14:paraId="503A7A70"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r>
        <w:rPr>
          <w:rFonts w:ascii="Calibri" w:hAnsi="Calibri" w:cs="Calibri"/>
          <w:color w:val="000000"/>
          <w:sz w:val="27"/>
          <w:szCs w:val="27"/>
        </w:rPr>
        <w:br/>
        <w:t>b) Tenham praticado atos ilícitos visando a frustrar os objetivos da licitação;</w:t>
      </w:r>
      <w:r>
        <w:rPr>
          <w:rFonts w:ascii="Calibri" w:hAnsi="Calibri" w:cs="Calibri"/>
          <w:color w:val="000000"/>
          <w:sz w:val="27"/>
          <w:szCs w:val="27"/>
        </w:rPr>
        <w:br/>
        <w:t>c) Demonstrem não possuir idoneidade para contratar com a Administração em virtude de atos ilícitos praticados.</w:t>
      </w:r>
    </w:p>
    <w:p w14:paraId="6E78036F"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0D28B6FB" w14:textId="77777777" w:rsidR="00CD3689" w:rsidRDefault="00CD3689" w:rsidP="00CD36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E00862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528B27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2553163C"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F88CC91"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E1CCF8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252942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650AB71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1FEC0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4EAE216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94559D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49487FD"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131CA8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de </w:t>
      </w:r>
      <w:r>
        <w:rPr>
          <w:color w:val="000000"/>
          <w:sz w:val="27"/>
          <w:szCs w:val="27"/>
        </w:rPr>
        <w:lastRenderedPageBreak/>
        <w:t>classificação original para que manifestem interesse em manter o preço original registrado em ata, de modo que, inexistindo interessados dispostos em manter o valor da ARP; os preços poderão ser revisados conforme disposto no caput  artigo 23B.</w:t>
      </w:r>
    </w:p>
    <w:p w14:paraId="3E3474AA"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D6C77B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453AB9F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8FE3CC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C6EB9F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EE2307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566B4F3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6DCA5A4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06F62E3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2D578DFB"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2EEB126"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6A0EC5E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53CB63F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C60EC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5310C2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5AB3E29"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657C5B2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C199B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1433FF2B"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9D0D2E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4B372621"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1DBEADC3"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371CC94A"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662DF3E"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7A1B32AC"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73F8E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7C219374"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2F22D6E8"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SESAU - </w:t>
      </w:r>
      <w:r>
        <w:rPr>
          <w:color w:val="000000"/>
          <w:sz w:val="27"/>
          <w:szCs w:val="27"/>
        </w:rPr>
        <w:t>Secretaria de Estado da Saúde </w:t>
      </w:r>
    </w:p>
    <w:p w14:paraId="669B5AC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70F62542"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E00522F"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5D5D9CA1"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B4EB83C"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45FEB747"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7CA04C5" w14:textId="77777777" w:rsidR="00CD3689" w:rsidRDefault="00CD3689" w:rsidP="00CD3689">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02E36DF" w14:textId="7C25DB92" w:rsidR="00BA72A0" w:rsidRDefault="00BA72A0" w:rsidP="00CD3689">
      <w:pPr>
        <w:pStyle w:val="textocentralizadomaiusculasnegrito"/>
        <w:jc w:val="center"/>
        <w:rPr>
          <w:rFonts w:ascii="Calibri" w:hAnsi="Calibri" w:cs="Calibri"/>
          <w:color w:val="000000"/>
          <w:sz w:val="27"/>
          <w:szCs w:val="27"/>
        </w:rPr>
      </w:pPr>
    </w:p>
    <w:p w14:paraId="07FBAA8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899830&amp;infra_sistema=100000100&amp;infra_unidade_atual=110000213&amp;infra_hash=07ca4140e3d222c47916244356758934253cf5895c243e872e6b3b3d2c24152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3319</Words>
  <Characters>18720</Characters>
  <Application>Microsoft Office Word</Application>
  <DocSecurity>0</DocSecurity>
  <Lines>156</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2021-09-24T14:53:00Z</dcterms:created>
  <dcterms:modified xsi:type="dcterms:W3CDTF">2021-09-24T14:55:00Z</dcterms:modified>
</cp:coreProperties>
</file>