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3C82F884"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160/2021</w:t>
      </w:r>
    </w:p>
    <w:p w14:paraId="0784C6F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161/2021</w:t>
      </w:r>
    </w:p>
    <w:p w14:paraId="0BD25BA9"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0063.157503/2019-30</w:t>
      </w:r>
    </w:p>
    <w:p w14:paraId="2013190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7B3984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Instrumental Cirúrgico Oftalmológico, visando atender o setor de NOFTAL/POC e do Hospital de Base Dr. Ary Pinheiro - HBAP, a pedido do Secretaria de Estado da Saúde de Rondônia – SESAU</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FE4BB5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4F5097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27793842"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Instrumental Cirúrgico Oftalmológico, visando atender o setor de NOFTAL/POC e do Hospital de Base Dr. Ary Pinheiro - HBAP, a pedido do Secretaria de Estado da Saúde de Rondônia – SESAU.</w:t>
      </w:r>
    </w:p>
    <w:p w14:paraId="706FF28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1B7E183"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5653288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4F47410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7B97606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95ADAC2"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2D87484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9EC92C0"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3C6AA1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3778F69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item registrado nesta Ata, encontram-se indicados no Anexo I deste instrumento.</w:t>
      </w:r>
    </w:p>
    <w:p w14:paraId="369A14A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017B4F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3886678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173FAE2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1088914"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F7F6A4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161C1CFA"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4F906E33"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2E06A0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26505DA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74263BC4"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79CFB573"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 prazo para início da entrega do material será de 30 (Trinta) dias após o recebimento da Nota de Empenho.</w:t>
      </w:r>
    </w:p>
    <w:p w14:paraId="307108A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deverão ser entregues na Central de Abastecimento Farmacêutico – CAF II: Rua: Aparício de Morais nº. 4378 Bairro: Setor Industrial, CEP: 76.801-460 - Telefone: (69) 3216–5759 - Porto Velho, Rondônia. O expediente é de segunda a sexta, das 07h30min às 13h30min horas.</w:t>
      </w:r>
    </w:p>
    <w:p w14:paraId="7B6666C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280E3C4"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45AE8E2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5491221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ED6EDEE"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7672A829"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27AA31E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4748E18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201C360"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28B11BF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D8A56EE"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F35A28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37A90C7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14:paraId="6B5092B0"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9.2 Advertência, por escrito, sempre que forem constatadas falhas na execução dos serviços;</w:t>
      </w:r>
    </w:p>
    <w:p w14:paraId="0D185922"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9.3 Multa, conforme descrito na tabela 01, até o 30º (trigésimo) dia de atraso no cumprimento das obrigações;</w:t>
      </w:r>
    </w:p>
    <w:p w14:paraId="7A20361B"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9.4 Multa de 10 % (dez por cento) do valor total contratado, a partir do 31º (trigésimo primeiro dia) de atraso, o que ensejará a rescisão contratual;</w:t>
      </w:r>
    </w:p>
    <w:p w14:paraId="40C891F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9.5 Suspensão temporária de participação em licitação e impedimento de contratar com a Administração por prazo não superior a 05 (cinco) anos, de acordo com o Decreto nº 5.450/05;</w:t>
      </w:r>
    </w:p>
    <w:p w14:paraId="6994506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9.6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79DE391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lastRenderedPageBreak/>
        <w:t>9.7 -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D40285A"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9.8 As sanções aqui previstas poderão ser aplicadas concomitantemente, facultada a defesa prévia do interessado, no respectivo processo, no prazo de 05 (cinco) dias úteis.</w:t>
      </w:r>
    </w:p>
    <w:p w14:paraId="0158E32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9.9 Após 30 (trinta) dias da falta de execução do objeto, será considerada inexecução total do contrato, o que ensejará a rescisão contratual.</w:t>
      </w:r>
    </w:p>
    <w:p w14:paraId="4A10376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9.10 As sanções de natureza pecuniária serão diretamente descontadas de créditos que eventualmente detenha a CONTRATADA ou efetuada a sua cobrança na forma prevista em lei.</w:t>
      </w:r>
    </w:p>
    <w:p w14:paraId="6B2B10A9"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9.11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14:paraId="6E2B144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9.12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14:paraId="05B710B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B08F340"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0168D5F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DE6086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CDE1C4E"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FF0D87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5ACC2F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FC05BF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1195E63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EAE3FD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11. DA ALTERAÇÃO DA ATA DE REGISTRO DE PREÇOS</w:t>
      </w:r>
    </w:p>
    <w:p w14:paraId="3DD5311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6C837F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A17A99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8D1DBC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5EA080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E441751"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753F5F8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B40CDD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0252DB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4D58587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5146BEE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2216461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12.3.</w:t>
      </w:r>
      <w:r>
        <w:rPr>
          <w:color w:val="000000"/>
          <w:sz w:val="27"/>
          <w:szCs w:val="27"/>
        </w:rPr>
        <w:t>  Prover todos os meios necessários à garantia da plena operacionalidade do fornecimento, inclusive considerados os casos de greve ou paralisação de qualquer natureza;</w:t>
      </w:r>
    </w:p>
    <w:p w14:paraId="4B8B8D3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43B62F6E"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3F4679B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0DB8F4E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B98AA20"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AC33D6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F187A7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591E97B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AF570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32AB1BB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6953D3D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4FF3939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4E71B436"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7B1B69D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5B817F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627D8925"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50345C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6998CE5D"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14.1.</w:t>
      </w:r>
      <w:r>
        <w:rPr>
          <w:color w:val="000000"/>
          <w:sz w:val="27"/>
          <w:szCs w:val="27"/>
        </w:rPr>
        <w:t> É participante desta ata o seguinte órgão pertencente à Administração Pública do Estado de Rondônia:</w:t>
      </w:r>
    </w:p>
    <w:p w14:paraId="2631B54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SESAU - </w:t>
      </w:r>
      <w:r>
        <w:rPr>
          <w:color w:val="000000"/>
          <w:sz w:val="27"/>
          <w:szCs w:val="27"/>
        </w:rPr>
        <w:t>Secretaria de Estado da Saúde de Rondônia.</w:t>
      </w:r>
    </w:p>
    <w:p w14:paraId="5C04496C"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818BE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3E0E454"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5A421F7"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04B7C418"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8EA8B83"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78F6DC4E"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16E939F" w14:textId="77777777" w:rsidR="005B42A5" w:rsidRDefault="005B42A5" w:rsidP="005B42A5">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5FC79A64" w14:textId="6AF10CBF" w:rsidR="000B3827" w:rsidRDefault="000B3827" w:rsidP="000B3827">
      <w:pPr>
        <w:pStyle w:val="newtextojustificado"/>
        <w:spacing w:before="120" w:beforeAutospacing="0" w:after="120" w:afterAutospacing="0"/>
        <w:ind w:left="120" w:right="120"/>
        <w:jc w:val="both"/>
        <w:rPr>
          <w:color w:val="000000"/>
          <w:sz w:val="27"/>
          <w:szCs w:val="27"/>
        </w:rPr>
      </w:pPr>
      <w:bookmarkStart w:id="1" w:name="_GoBack"/>
      <w:bookmarkEnd w:id="1"/>
    </w:p>
    <w:p w14:paraId="0D653AE7" w14:textId="54B8A3D3" w:rsidR="006F77B8" w:rsidRPr="001E1C89" w:rsidRDefault="006F77B8" w:rsidP="006F77B8">
      <w:pPr>
        <w:pStyle w:val="textojustificado"/>
        <w:spacing w:before="120" w:beforeAutospacing="0" w:after="120" w:afterAutospacing="0"/>
        <w:ind w:left="120" w:right="120"/>
        <w:jc w:val="both"/>
        <w:rPr>
          <w:rFonts w:ascii="Calibri" w:hAnsi="Calibri" w:cs="Calibri"/>
          <w:color w:val="000000"/>
          <w:sz w:val="27"/>
          <w:szCs w:val="27"/>
          <w:lang w:val="pt-PT"/>
        </w:rPr>
      </w:pPr>
    </w:p>
    <w:p w14:paraId="268FA15E" w14:textId="4D35B21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EMPRESA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proofErr w:type="gramStart"/>
      <w:r w:rsidRPr="009D229D">
        <w:rPr>
          <w:rFonts w:ascii="Arial" w:hAnsi="Arial" w:cs="Arial"/>
          <w:b/>
          <w:bCs/>
          <w:color w:val="000000"/>
          <w:sz w:val="16"/>
          <w:szCs w:val="16"/>
        </w:rPr>
        <w:t>Qualificada</w:t>
      </w:r>
      <w:r w:rsidR="00490488" w:rsidRPr="009D229D">
        <w:rPr>
          <w:rFonts w:ascii="Arial" w:hAnsi="Arial" w:cs="Arial"/>
          <w:b/>
          <w:bCs/>
          <w:color w:val="000000"/>
          <w:sz w:val="16"/>
          <w:szCs w:val="16"/>
        </w:rPr>
        <w:t>(</w:t>
      </w:r>
      <w:proofErr w:type="gramEnd"/>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3"/>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5"/>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2"/>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1B6168-527B-42CE-B6D1-9E80AEAD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2659</Words>
  <Characters>14728</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2021-09-17T15:07:00Z</dcterms:created>
  <dcterms:modified xsi:type="dcterms:W3CDTF">2021-09-17T15:08:00Z</dcterms:modified>
</cp:coreProperties>
</file>