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245C319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155/2021</w:t>
      </w:r>
    </w:p>
    <w:p w14:paraId="7FE8124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791/2020</w:t>
      </w:r>
    </w:p>
    <w:p w14:paraId="0512EBA5"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0029.335099/2020-00</w:t>
      </w:r>
    </w:p>
    <w:p w14:paraId="41E6BA23"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7F961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Equipamentos e Materiais Permanentes – Equipamento Tecnológico (notebook), a pedido da Secretaria de Estado da Educação - SEDUC,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8AE1E90"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D7603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392F905"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Equipamentos e Materiais Permanentes – Equipamento Tecnológico (notebook), a pedido da Secretaria de Estado da Educação - SEDUC​.</w:t>
      </w:r>
    </w:p>
    <w:p w14:paraId="786802E3"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43C90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8832605"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A5674E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1D032D1"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3A2E6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3. DA GERÊNCIA DA PRESENTE ATA DE REGISTRO DE PREÇOS</w:t>
      </w:r>
    </w:p>
    <w:p w14:paraId="0213F5C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Pr>
          <w:rFonts w:ascii="Calibri" w:hAnsi="Calibri" w:cs="Calibri"/>
          <w:color w:val="000000"/>
          <w:sz w:val="27"/>
          <w:szCs w:val="27"/>
        </w:rPr>
        <w:t>18.340/13 artigo</w:t>
      </w:r>
      <w:proofErr w:type="gramEnd"/>
      <w:r>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2C86F3E"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606DD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46303E3"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598DE3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922AD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68256C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14877A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423D7B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E17D70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3A12D4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953527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9060BF"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9DC695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7C1DBEF"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631F5BE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materiais/bens, deverão ser entregues, no prazo de até </w:t>
      </w:r>
      <w:r>
        <w:rPr>
          <w:rStyle w:val="Forte"/>
          <w:rFonts w:ascii="Calibri" w:eastAsiaTheme="majorEastAsia" w:hAnsi="Calibri" w:cs="Calibri"/>
          <w:color w:val="000000"/>
          <w:sz w:val="27"/>
          <w:szCs w:val="27"/>
        </w:rPr>
        <w:t>60</w:t>
      </w:r>
      <w:r>
        <w:rPr>
          <w:rFonts w:ascii="Calibri" w:hAnsi="Calibri" w:cs="Calibri"/>
          <w:color w:val="000000"/>
          <w:sz w:val="27"/>
          <w:szCs w:val="27"/>
        </w:rPr>
        <w:t> (sessenta) </w:t>
      </w:r>
      <w:r>
        <w:rPr>
          <w:rStyle w:val="Forte"/>
          <w:rFonts w:ascii="Calibri" w:eastAsiaTheme="majorEastAsia" w:hAnsi="Calibri" w:cs="Calibri"/>
          <w:color w:val="000000"/>
          <w:sz w:val="27"/>
          <w:szCs w:val="27"/>
        </w:rPr>
        <w:t>dias </w:t>
      </w:r>
      <w:r>
        <w:rPr>
          <w:rFonts w:ascii="Calibri" w:hAnsi="Calibri" w:cs="Calibri"/>
          <w:color w:val="000000"/>
          <w:sz w:val="27"/>
          <w:szCs w:val="27"/>
        </w:rPr>
        <w:t>corridos, contados a partir do momento do recebimento da Nota de Empenho – NE ou outro documento equivalente, em remessa única.</w:t>
      </w:r>
    </w:p>
    <w:p w14:paraId="4515A554"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de entrega </w:t>
      </w:r>
      <w:r>
        <w:rPr>
          <w:rStyle w:val="Forte"/>
          <w:rFonts w:ascii="Calibri" w:eastAsiaTheme="majorEastAsia" w:hAnsi="Calibri" w:cs="Calibri"/>
          <w:color w:val="000000"/>
          <w:sz w:val="27"/>
          <w:szCs w:val="27"/>
        </w:rPr>
        <w:t>somente poderá ser prorrogado</w:t>
      </w:r>
      <w:r>
        <w:rPr>
          <w:rFonts w:ascii="Calibri" w:hAnsi="Calibri" w:cs="Calibri"/>
          <w:color w:val="000000"/>
          <w:sz w:val="27"/>
          <w:szCs w:val="27"/>
        </w:rPr>
        <w:t> mediante o cumprimento, pela Contratada, dos seguintes requisitos cumulativos:</w:t>
      </w:r>
    </w:p>
    <w:p w14:paraId="6A745D6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Pr>
          <w:rStyle w:val="Forte"/>
          <w:rFonts w:ascii="Calibri" w:eastAsiaTheme="majorEastAsia" w:hAnsi="Calibri" w:cs="Calibri"/>
          <w:color w:val="000000"/>
          <w:sz w:val="27"/>
          <w:szCs w:val="27"/>
          <w:u w:val="single"/>
        </w:rPr>
        <w:t>mediante prévio agendamento</w:t>
      </w:r>
      <w:r>
        <w:rPr>
          <w:rFonts w:ascii="Calibri" w:hAnsi="Calibri" w:cs="Calibri"/>
          <w:color w:val="000000"/>
          <w:sz w:val="27"/>
          <w:szCs w:val="27"/>
        </w:rPr>
        <w:t> junto ao GAP/SEDUC, pelos telefones: (69) 3216-5901 e (69) 3216-5923.</w:t>
      </w:r>
    </w:p>
    <w:p w14:paraId="0D2F589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Fonts w:ascii="Calibri" w:hAnsi="Calibri" w:cs="Calibri"/>
          <w:color w:val="000000"/>
          <w:sz w:val="27"/>
          <w:szCs w:val="27"/>
        </w:rPr>
        <w:t>As entregas sem agendamento somente serão aceitas, excepcionalmente, desde que não prejudique os demais recebimentos agendados, a critério do GAP/SEDUC.</w:t>
      </w:r>
    </w:p>
    <w:p w14:paraId="6C66401E"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B69FA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E16D08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C49F015"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B8C1BD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xml:space="preserve">, com as informações que motivaram sua rejeição, contando-se o prazo estabelecido no subitem 6.2. </w:t>
      </w:r>
      <w:proofErr w:type="gramStart"/>
      <w:r>
        <w:rPr>
          <w:rFonts w:ascii="Calibri" w:hAnsi="Calibri" w:cs="Calibri"/>
          <w:color w:val="000000"/>
          <w:sz w:val="27"/>
          <w:szCs w:val="27"/>
        </w:rPr>
        <w:t>a</w:t>
      </w:r>
      <w:proofErr w:type="gramEnd"/>
      <w:r>
        <w:rPr>
          <w:rFonts w:ascii="Calibri" w:hAnsi="Calibri" w:cs="Calibri"/>
          <w:color w:val="000000"/>
          <w:sz w:val="27"/>
          <w:szCs w:val="27"/>
        </w:rPr>
        <w:t xml:space="preserve"> partir da data de sua reapresentação.</w:t>
      </w:r>
    </w:p>
    <w:p w14:paraId="3914C22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C690AB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4CDD3D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43ED24"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3ED4D5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1BD564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A3C0C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0285E9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67C21A8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w:t>
      </w:r>
      <w:r>
        <w:rPr>
          <w:rStyle w:val="Forte"/>
          <w:rFonts w:ascii="Calibri" w:eastAsiaTheme="majorEastAsia" w:hAnsi="Calibri" w:cs="Calibri"/>
          <w:color w:val="000000"/>
          <w:sz w:val="27"/>
          <w:szCs w:val="27"/>
        </w:rPr>
        <w:t>Tabela – Item 9.11.</w:t>
      </w:r>
      <w:r>
        <w:rPr>
          <w:rFonts w:ascii="Calibri" w:hAnsi="Calibri" w:cs="Calibri"/>
          <w:color w:val="000000"/>
          <w:sz w:val="27"/>
          <w:szCs w:val="27"/>
        </w:rPr>
        <w:t>), sobre a parcela inadimplida do contrato.</w:t>
      </w:r>
    </w:p>
    <w:p w14:paraId="1C808C0E"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w:t>
      </w:r>
      <w:r>
        <w:rPr>
          <w:rStyle w:val="Forte"/>
          <w:rFonts w:ascii="Calibri" w:eastAsiaTheme="majorEastAsia" w:hAnsi="Calibri" w:cs="Calibri"/>
          <w:color w:val="000000"/>
          <w:sz w:val="27"/>
          <w:szCs w:val="27"/>
        </w:rPr>
        <w:t>multa de até 10% (dez por cento) sobre o valor adjudicado</w:t>
      </w:r>
      <w:r>
        <w:rPr>
          <w:rFonts w:ascii="Calibri" w:hAnsi="Calibri" w:cs="Calibri"/>
          <w:color w:val="000000"/>
          <w:sz w:val="27"/>
          <w:szCs w:val="27"/>
        </w:rPr>
        <w:t>.</w:t>
      </w:r>
    </w:p>
    <w:p w14:paraId="0A89B4D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Pr>
          <w:rStyle w:val="Forte"/>
          <w:rFonts w:ascii="Calibri" w:eastAsiaTheme="majorEastAsia" w:hAnsi="Calibri" w:cs="Calibri"/>
          <w:color w:val="000000"/>
          <w:sz w:val="27"/>
          <w:szCs w:val="27"/>
        </w:rPr>
        <w:t>ficará impedida de licitar e contratar com o Estado, e será descredenciado no Cadastro de Fornecedores Estadual, pelo prazo de</w:t>
      </w:r>
      <w:r>
        <w:rPr>
          <w:rFonts w:ascii="Calibri" w:hAnsi="Calibri" w:cs="Calibri"/>
          <w:color w:val="000000"/>
          <w:sz w:val="27"/>
          <w:szCs w:val="27"/>
        </w:rPr>
        <w:t> </w:t>
      </w:r>
      <w:r>
        <w:rPr>
          <w:rStyle w:val="Forte"/>
          <w:rFonts w:ascii="Calibri" w:eastAsiaTheme="majorEastAsia" w:hAnsi="Calibri" w:cs="Calibri"/>
          <w:color w:val="000000"/>
          <w:sz w:val="27"/>
          <w:szCs w:val="27"/>
        </w:rPr>
        <w:t>até 05 (cinco) anos</w:t>
      </w:r>
      <w:r>
        <w:rPr>
          <w:rFonts w:ascii="Calibri" w:hAnsi="Calibri" w:cs="Calibri"/>
          <w:color w:val="000000"/>
          <w:sz w:val="27"/>
          <w:szCs w:val="27"/>
        </w:rPr>
        <w:t>, sem prejuízo das multas previstas no Edital e das demais cominações legais, devendo ser incluída a penalidade no SICAFI e no CAGEFIMP. (Cadastro de Fornecedores Impedidos de Licitar e Contratar com a Administração Pública Estadual).</w:t>
      </w:r>
    </w:p>
    <w:p w14:paraId="5FEBD8C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75E80C01"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22167A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692D4C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9F99EF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w:t>
      </w:r>
      <w:r>
        <w:rPr>
          <w:rStyle w:val="Forte"/>
          <w:rFonts w:ascii="Calibri" w:eastAsiaTheme="majorEastAsia" w:hAnsi="Calibri" w:cs="Calibri"/>
          <w:color w:val="000000"/>
          <w:sz w:val="27"/>
          <w:szCs w:val="27"/>
        </w:rPr>
        <w:t>dos Decretos Estaduais nº 12.205/06, 12.234/06 (Pregão Eletrônico e Presencial):</w:t>
      </w:r>
    </w:p>
    <w:p w14:paraId="385497A4"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204A389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5A6A7DD4"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426A20F5"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7C7F22E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e) </w:t>
      </w:r>
      <w:r>
        <w:rPr>
          <w:rFonts w:ascii="Calibri" w:hAnsi="Calibri" w:cs="Calibri"/>
          <w:color w:val="000000"/>
          <w:sz w:val="27"/>
          <w:szCs w:val="27"/>
        </w:rPr>
        <w:t>Descumprimento de qualquer dos deveres elencados no Edital ou no Contrato.</w:t>
      </w:r>
    </w:p>
    <w:p w14:paraId="346AF83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6C06ECF"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1F67AA1B"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66F59C6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Após 30 (trinta) dias da falta de execução do objeto, será considerada inexecução total do contrato, o que ensejará a rescisão contratual.</w:t>
      </w:r>
    </w:p>
    <w:p w14:paraId="777E305F"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F12B09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B0E3380"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ADAA5B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A sanção será obrigatoriamente registrada no Sistema de Cadastramento Unificado de Fornecedores – SICAF, bem como em sistemas Estaduais.</w:t>
      </w:r>
    </w:p>
    <w:p w14:paraId="3115479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869009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a) </w:t>
      </w:r>
      <w:r>
        <w:rPr>
          <w:rFonts w:ascii="Calibri" w:hAnsi="Calibri" w:cs="Calibri"/>
          <w:color w:val="000000"/>
          <w:sz w:val="27"/>
          <w:szCs w:val="27"/>
        </w:rPr>
        <w:t>Tenham</w:t>
      </w:r>
      <w:proofErr w:type="gramEnd"/>
      <w:r>
        <w:rPr>
          <w:rFonts w:ascii="Calibri" w:hAnsi="Calibri" w:cs="Calibri"/>
          <w:color w:val="000000"/>
          <w:sz w:val="27"/>
          <w:szCs w:val="27"/>
        </w:rPr>
        <w:t xml:space="preserve"> sofrido condenações definitivas por praticarem, por meio dolosos, fraude fiscal no recolhimento de tributos;</w:t>
      </w:r>
    </w:p>
    <w:p w14:paraId="0F478CC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b) </w:t>
      </w:r>
      <w:r>
        <w:rPr>
          <w:rFonts w:ascii="Calibri" w:hAnsi="Calibri" w:cs="Calibri"/>
          <w:color w:val="000000"/>
          <w:sz w:val="27"/>
          <w:szCs w:val="27"/>
        </w:rPr>
        <w:t>Tenham</w:t>
      </w:r>
      <w:proofErr w:type="gramEnd"/>
      <w:r>
        <w:rPr>
          <w:rFonts w:ascii="Calibri" w:hAnsi="Calibri" w:cs="Calibri"/>
          <w:color w:val="000000"/>
          <w:sz w:val="27"/>
          <w:szCs w:val="27"/>
        </w:rPr>
        <w:t xml:space="preserve"> praticado atos ilícitos visando a frustrar os objetivos da licitação;</w:t>
      </w:r>
    </w:p>
    <w:p w14:paraId="46F14AF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c) </w:t>
      </w:r>
      <w:r>
        <w:rPr>
          <w:rFonts w:ascii="Calibri" w:hAnsi="Calibri" w:cs="Calibri"/>
          <w:color w:val="000000"/>
          <w:sz w:val="27"/>
          <w:szCs w:val="27"/>
        </w:rPr>
        <w:t>Demonstrem</w:t>
      </w:r>
      <w:proofErr w:type="gramEnd"/>
      <w:r>
        <w:rPr>
          <w:rFonts w:ascii="Calibri" w:hAnsi="Calibri" w:cs="Calibri"/>
          <w:color w:val="000000"/>
          <w:sz w:val="27"/>
          <w:szCs w:val="27"/>
        </w:rPr>
        <w:t xml:space="preserve"> não possuir idoneidade para contratar com a Administração em virtude de atos ilícitos praticados.</w:t>
      </w:r>
    </w:p>
    <w:p w14:paraId="31D501C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3B1FD4B"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6E4F0374"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9.22. 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684477D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9.23. </w:t>
      </w:r>
      <w:r>
        <w:rPr>
          <w:rFonts w:ascii="Calibri" w:hAnsi="Calibri" w:cs="Calibri"/>
          <w:color w:val="000000"/>
          <w:sz w:val="27"/>
          <w:szCs w:val="27"/>
        </w:rPr>
        <w:t>Tratando-se de sanção do art. 7° da Lei do Pregão, os seus efeitos recaem apenas na esfera administrativa do órgão que a aplicou".</w:t>
      </w:r>
    </w:p>
    <w:p w14:paraId="25B6794E"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58650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E28802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2C9445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E5088B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299A1A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ADB8751"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02E30DB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B92C0EF"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00704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3E07AB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5D14C7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96E9C91"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379106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6776CA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w:t>
      </w:r>
      <w:proofErr w:type="gramStart"/>
      <w:r>
        <w:rPr>
          <w:rFonts w:ascii="Calibri" w:hAnsi="Calibri" w:cs="Calibri"/>
          <w:color w:val="000000"/>
          <w:sz w:val="27"/>
          <w:szCs w:val="27"/>
        </w:rPr>
        <w:t>a</w:t>
      </w:r>
      <w:proofErr w:type="gramEnd"/>
      <w:r>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2E901AB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95D7C00"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426AFB9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41D54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19FB1FB"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67B8B9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CA76D3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E16776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EEEA340"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3F98E04"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7C9F908"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A638FFB"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897757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5830611"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E8C82DB"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84ECB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97AFF0E"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E97813F"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5461A76"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D721321"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xml:space="preserve"> Efetuar o pagamento </w:t>
      </w:r>
      <w:proofErr w:type="gramStart"/>
      <w:r>
        <w:rPr>
          <w:rFonts w:ascii="Calibri" w:hAnsi="Calibri" w:cs="Calibri"/>
          <w:color w:val="000000"/>
          <w:sz w:val="27"/>
          <w:szCs w:val="27"/>
        </w:rPr>
        <w:t>à(</w:t>
      </w:r>
      <w:proofErr w:type="gramEnd"/>
      <w:r>
        <w:rPr>
          <w:rFonts w:ascii="Calibri" w:hAnsi="Calibri" w:cs="Calibri"/>
          <w:color w:val="000000"/>
          <w:sz w:val="27"/>
          <w:szCs w:val="27"/>
        </w:rPr>
        <w:t>s) contratada(s) de acordo com as condições de preços e prazos estabelecidos no edital e ata de registro de preços</w:t>
      </w:r>
    </w:p>
    <w:p w14:paraId="1C54D945"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E1FDE57"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27A1AB3D"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3311E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242EDD0"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CAA1A0F"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44B67CFA"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7E5604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5AA8ADC"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A9DED5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7A61CA2"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AA55561"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3C964F9"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336C50" w14:textId="77777777" w:rsidR="000E21EE" w:rsidRDefault="000E21EE" w:rsidP="000E21E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bookmarkStart w:id="1" w:name="_GoBack"/>
      <w:bookmarkEnd w:id="1"/>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6D026-3797-4A9D-ACD0-1FBA2BBDE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3253</Words>
  <Characters>18355</Characters>
  <Application>Microsoft Office Word</Application>
  <DocSecurity>0</DocSecurity>
  <Lines>152</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2021-07-06T13:37:00Z</dcterms:created>
  <dcterms:modified xsi:type="dcterms:W3CDTF">2021-07-06T13:37:00Z</dcterms:modified>
</cp:coreProperties>
</file>