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3F688C01"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w:t>
      </w:r>
      <w:r>
        <w:rPr>
          <w:rFonts w:ascii="Calibri" w:hAnsi="Calibri" w:cs="Calibri"/>
          <w:color w:val="000000"/>
          <w:sz w:val="27"/>
          <w:szCs w:val="27"/>
        </w:rPr>
        <w:t>151/2021</w:t>
      </w:r>
    </w:p>
    <w:p w14:paraId="28CFDFBA"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w:t>
      </w:r>
      <w:r>
        <w:rPr>
          <w:rFonts w:ascii="Calibri" w:hAnsi="Calibri" w:cs="Calibri"/>
          <w:color w:val="000000"/>
          <w:sz w:val="27"/>
          <w:szCs w:val="27"/>
        </w:rPr>
        <w:t>805/2020</w:t>
      </w:r>
    </w:p>
    <w:p w14:paraId="49C6A27C"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ajorEastAsia" w:hAnsi="Calibri" w:cs="Calibri"/>
            <w:sz w:val="27"/>
            <w:szCs w:val="27"/>
          </w:rPr>
          <w:t>0019.346917/2020-19</w:t>
        </w:r>
      </w:hyperlink>
    </w:p>
    <w:p w14:paraId="6454469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23E226"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para</w:t>
      </w:r>
      <w:r>
        <w:rPr>
          <w:rStyle w:val="Forte"/>
          <w:rFonts w:ascii="Calibri" w:eastAsiaTheme="majorEastAsia" w:hAnsi="Calibri" w:cs="Calibri"/>
          <w:color w:val="000000"/>
          <w:sz w:val="27"/>
          <w:szCs w:val="27"/>
        </w:rPr>
        <w:t> </w:t>
      </w:r>
      <w:r>
        <w:rPr>
          <w:rFonts w:ascii="Calibri" w:hAnsi="Calibri" w:cs="Calibri"/>
          <w:color w:val="000000"/>
          <w:sz w:val="27"/>
          <w:szCs w:val="27"/>
        </w:rPr>
        <w:t>futura e eventual aquisição de </w:t>
      </w:r>
      <w:r>
        <w:rPr>
          <w:rStyle w:val="Forte"/>
          <w:rFonts w:ascii="Calibri" w:eastAsiaTheme="majorEastAsia" w:hAnsi="Calibri" w:cs="Calibri"/>
          <w:color w:val="000000"/>
          <w:sz w:val="27"/>
          <w:szCs w:val="27"/>
        </w:rPr>
        <w:t>MATERIAIS DE EXPEDIENTE​</w:t>
      </w:r>
      <w:r>
        <w:rPr>
          <w:rFonts w:ascii="Calibri" w:hAnsi="Calibri" w:cs="Calibri"/>
          <w:color w:val="000000"/>
          <w:sz w:val="27"/>
          <w:szCs w:val="27"/>
        </w:rPr>
        <w:t> (artigos para escritório: carimbos, materiais para acondicionamento e embalagem (envelopes, sacos, lacres), mídias e drives, etiquetas, etc.), </w:t>
      </w:r>
      <w:r>
        <w:rPr>
          <w:rStyle w:val="Forte"/>
          <w:rFonts w:ascii="Calibri" w:eastAsiaTheme="majorEastAsia" w:hAnsi="Calibri" w:cs="Calibri"/>
          <w:color w:val="000000"/>
          <w:sz w:val="27"/>
          <w:szCs w:val="27"/>
        </w:rPr>
        <w:t>MATERIAIS GRÁFICOS </w:t>
      </w:r>
      <w:r>
        <w:rPr>
          <w:rFonts w:ascii="Calibri" w:hAnsi="Calibri" w:cs="Calibri"/>
          <w:color w:val="000000"/>
          <w:sz w:val="27"/>
          <w:szCs w:val="27"/>
        </w:rPr>
        <w:t>(tintas, papéis, etc..) </w:t>
      </w:r>
      <w:proofErr w:type="gramStart"/>
      <w:r>
        <w:rPr>
          <w:rFonts w:ascii="Calibri" w:hAnsi="Calibri" w:cs="Calibri"/>
          <w:color w:val="000000"/>
          <w:sz w:val="27"/>
          <w:szCs w:val="27"/>
        </w:rPr>
        <w:t>e</w:t>
      </w:r>
      <w:proofErr w:type="gramEnd"/>
      <w:r>
        <w:rPr>
          <w:rFonts w:ascii="Calibri" w:hAnsi="Calibri" w:cs="Calibri"/>
          <w:color w:val="000000"/>
          <w:sz w:val="27"/>
          <w:szCs w:val="27"/>
        </w:rPr>
        <w:t> </w:t>
      </w:r>
      <w:r>
        <w:rPr>
          <w:rStyle w:val="Forte"/>
          <w:rFonts w:ascii="Calibri" w:eastAsiaTheme="majorEastAsia" w:hAnsi="Calibri" w:cs="Calibri"/>
          <w:color w:val="000000"/>
          <w:sz w:val="27"/>
          <w:szCs w:val="27"/>
        </w:rPr>
        <w:t>MATERIAL PERMANENTE</w:t>
      </w:r>
      <w:r>
        <w:rPr>
          <w:rFonts w:ascii="Calibri" w:hAnsi="Calibri" w:cs="Calibri"/>
          <w:color w:val="000000"/>
          <w:sz w:val="27"/>
          <w:szCs w:val="27"/>
        </w:rPr>
        <w:t> </w:t>
      </w:r>
      <w:r>
        <w:rPr>
          <w:rStyle w:val="Forte"/>
          <w:rFonts w:ascii="Calibri" w:eastAsiaTheme="majorEastAsia" w:hAnsi="Calibri" w:cs="Calibri"/>
          <w:color w:val="000000"/>
          <w:sz w:val="27"/>
          <w:szCs w:val="27"/>
        </w:rPr>
        <w:t>(Grampeador Tapeceiro Alta Pressão Profissional)</w:t>
      </w:r>
      <w:r>
        <w:rPr>
          <w:rFonts w:ascii="Calibri" w:hAnsi="Calibri" w:cs="Calibri"/>
          <w:color w:val="000000"/>
          <w:sz w:val="27"/>
          <w:szCs w:val="27"/>
        </w:rPr>
        <w:t>,</w:t>
      </w:r>
      <w:r>
        <w:rPr>
          <w:rFonts w:ascii="Calibri" w:hAnsi="Calibri" w:cs="Calibri"/>
          <w:b/>
          <w:bCs/>
          <w:color w:val="000000"/>
          <w:sz w:val="27"/>
          <w:szCs w:val="27"/>
        </w:rPr>
        <w:t> </w:t>
      </w:r>
      <w:r>
        <w:rPr>
          <w:rFonts w:ascii="Calibri" w:hAnsi="Calibri" w:cs="Calibri"/>
          <w:color w:val="000000"/>
          <w:sz w:val="27"/>
          <w:szCs w:val="27"/>
        </w:rPr>
        <w:t>a fim de atender as atividades regularmente desenvolvidas por unidades da Polícia Civil do Estado de Rondônia – PC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BA78B7E"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9F49BF"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ADD1094"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aquisição de </w:t>
      </w:r>
      <w:r>
        <w:rPr>
          <w:rStyle w:val="Forte"/>
          <w:rFonts w:ascii="Calibri" w:eastAsiaTheme="majorEastAsia" w:hAnsi="Calibri" w:cs="Calibri"/>
          <w:color w:val="000000"/>
          <w:sz w:val="27"/>
          <w:szCs w:val="27"/>
        </w:rPr>
        <w:t>MATERIAIS DE EXPEDIENTE​</w:t>
      </w:r>
      <w:r>
        <w:rPr>
          <w:rFonts w:ascii="Calibri" w:hAnsi="Calibri" w:cs="Calibri"/>
          <w:color w:val="000000"/>
          <w:sz w:val="27"/>
          <w:szCs w:val="27"/>
        </w:rPr>
        <w:t> (artigos para escritório: carimbos, materiais para acondicionamento e embalagem (envelopes, sacos, lacres), mídias e drives, etiquetas, etc.), </w:t>
      </w:r>
      <w:r>
        <w:rPr>
          <w:rStyle w:val="Forte"/>
          <w:rFonts w:ascii="Calibri" w:eastAsiaTheme="majorEastAsia" w:hAnsi="Calibri" w:cs="Calibri"/>
          <w:color w:val="000000"/>
          <w:sz w:val="27"/>
          <w:szCs w:val="27"/>
        </w:rPr>
        <w:t>MATERIAIS GRÁFICOS </w:t>
      </w:r>
      <w:r>
        <w:rPr>
          <w:rFonts w:ascii="Calibri" w:hAnsi="Calibri" w:cs="Calibri"/>
          <w:color w:val="000000"/>
          <w:sz w:val="27"/>
          <w:szCs w:val="27"/>
        </w:rPr>
        <w:t xml:space="preserve">(tintas, papéis, </w:t>
      </w:r>
      <w:proofErr w:type="gramStart"/>
      <w:r>
        <w:rPr>
          <w:rFonts w:ascii="Calibri" w:hAnsi="Calibri" w:cs="Calibri"/>
          <w:color w:val="000000"/>
          <w:sz w:val="27"/>
          <w:szCs w:val="27"/>
        </w:rPr>
        <w:t>etc..</w:t>
      </w:r>
      <w:proofErr w:type="gramEnd"/>
      <w:r>
        <w:rPr>
          <w:rFonts w:ascii="Calibri" w:hAnsi="Calibri" w:cs="Calibri"/>
          <w:color w:val="000000"/>
          <w:sz w:val="27"/>
          <w:szCs w:val="27"/>
        </w:rPr>
        <w:t>) </w:t>
      </w:r>
      <w:proofErr w:type="gramStart"/>
      <w:r>
        <w:rPr>
          <w:rFonts w:ascii="Calibri" w:hAnsi="Calibri" w:cs="Calibri"/>
          <w:color w:val="000000"/>
          <w:sz w:val="27"/>
          <w:szCs w:val="27"/>
        </w:rPr>
        <w:t>e</w:t>
      </w:r>
      <w:proofErr w:type="gramEnd"/>
      <w:r>
        <w:rPr>
          <w:rFonts w:ascii="Calibri" w:hAnsi="Calibri" w:cs="Calibri"/>
          <w:color w:val="000000"/>
          <w:sz w:val="27"/>
          <w:szCs w:val="27"/>
        </w:rPr>
        <w:t> </w:t>
      </w:r>
      <w:r>
        <w:rPr>
          <w:rStyle w:val="Forte"/>
          <w:rFonts w:ascii="Calibri" w:eastAsiaTheme="majorEastAsia" w:hAnsi="Calibri" w:cs="Calibri"/>
          <w:color w:val="000000"/>
          <w:sz w:val="27"/>
          <w:szCs w:val="27"/>
        </w:rPr>
        <w:t>MATERIAL PERMANENTE</w:t>
      </w:r>
      <w:r>
        <w:rPr>
          <w:rFonts w:ascii="Calibri" w:hAnsi="Calibri" w:cs="Calibri"/>
          <w:color w:val="000000"/>
          <w:sz w:val="27"/>
          <w:szCs w:val="27"/>
        </w:rPr>
        <w:t> </w:t>
      </w:r>
      <w:r>
        <w:rPr>
          <w:rStyle w:val="Forte"/>
          <w:rFonts w:ascii="Calibri" w:eastAsiaTheme="majorEastAsia" w:hAnsi="Calibri" w:cs="Calibri"/>
          <w:color w:val="000000"/>
          <w:sz w:val="27"/>
          <w:szCs w:val="27"/>
        </w:rPr>
        <w:t>(Grampeador Tapeceiro Alta Pressão Profissional)</w:t>
      </w:r>
      <w:r>
        <w:rPr>
          <w:rFonts w:ascii="Calibri" w:hAnsi="Calibri" w:cs="Calibri"/>
          <w:color w:val="000000"/>
          <w:sz w:val="27"/>
          <w:szCs w:val="27"/>
        </w:rPr>
        <w:t>,</w:t>
      </w:r>
      <w:r>
        <w:rPr>
          <w:rFonts w:ascii="Calibri" w:hAnsi="Calibri" w:cs="Calibri"/>
          <w:b/>
          <w:bCs/>
          <w:color w:val="000000"/>
          <w:sz w:val="27"/>
          <w:szCs w:val="27"/>
        </w:rPr>
        <w:t> </w:t>
      </w:r>
      <w:r>
        <w:rPr>
          <w:rFonts w:ascii="Calibri" w:hAnsi="Calibri" w:cs="Calibri"/>
          <w:color w:val="000000"/>
          <w:sz w:val="27"/>
          <w:szCs w:val="27"/>
        </w:rPr>
        <w:t>a fim de atender as atividades regularmente desenvolvidas por unidades da Polícia Civil do Estado de Rondônia – PC.</w:t>
      </w:r>
    </w:p>
    <w:p w14:paraId="0DD2091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B251B3"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CF52448"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37DB957"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93C40FB"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95B91F"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5EBAF3B"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Pr>
          <w:rFonts w:ascii="Calibri" w:hAnsi="Calibri" w:cs="Calibri"/>
          <w:color w:val="000000"/>
          <w:sz w:val="27"/>
          <w:szCs w:val="27"/>
        </w:rPr>
        <w:t>18.340/13 artigo</w:t>
      </w:r>
      <w:proofErr w:type="gramEnd"/>
      <w:r>
        <w:rPr>
          <w:rFonts w:ascii="Calibri" w:hAnsi="Calibri" w:cs="Calibri"/>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DAE4386"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614466"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B89B2EF"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3CA21EF1"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89D7A9"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D2330EE"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A18FFB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C15EC1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00DF5A8"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29611B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23156BE"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D98DA4"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A1BA586"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1A9AA18"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w:t>
      </w:r>
      <w:proofErr w:type="gramStart"/>
      <w:r>
        <w:rPr>
          <w:rFonts w:ascii="Calibri" w:hAnsi="Calibri" w:cs="Calibri"/>
          <w:color w:val="000000"/>
          <w:sz w:val="27"/>
          <w:szCs w:val="27"/>
        </w:rPr>
        <w:t>c</w:t>
      </w:r>
      <w:proofErr w:type="gramEnd"/>
      <w:r>
        <w:rPr>
          <w:rFonts w:ascii="Calibri" w:hAnsi="Calibri" w:cs="Calibri"/>
          <w:color w:val="000000"/>
          <w:sz w:val="27"/>
          <w:szCs w:val="27"/>
        </w:rPr>
        <w:t xml:space="preserve"> o art. 73 inciso II, “a” e “b”, da Lei 8.666/93 e alterações.</w:t>
      </w:r>
    </w:p>
    <w:p w14:paraId="44EF3F33"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 deverão ser entregues em até 30 (trinta) dias corridos, contados do recebimento da Nota de Empenho.</w:t>
      </w:r>
    </w:p>
    <w:p w14:paraId="29585142"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Os materiais deverão ser entregues no Almoxarifado Central do Governo do Estado de Rondônia, localizado na Rua </w:t>
      </w:r>
      <w:proofErr w:type="spellStart"/>
      <w:r>
        <w:rPr>
          <w:rFonts w:ascii="Calibri" w:hAnsi="Calibri" w:cs="Calibri"/>
          <w:color w:val="000000"/>
          <w:sz w:val="27"/>
          <w:szCs w:val="27"/>
        </w:rPr>
        <w:t>Antonio</w:t>
      </w:r>
      <w:proofErr w:type="spellEnd"/>
      <w:r>
        <w:rPr>
          <w:rFonts w:ascii="Calibri" w:hAnsi="Calibri" w:cs="Calibri"/>
          <w:color w:val="000000"/>
          <w:sz w:val="27"/>
          <w:szCs w:val="27"/>
        </w:rPr>
        <w:t xml:space="preserve"> Lacerda, nº 4168, Bairro Setor Industrial, em Porto Velho/RO, no período de Segunda a Sexta-Feira, no horário compreendido entre 07h30m e 13h30m.</w:t>
      </w:r>
    </w:p>
    <w:p w14:paraId="3C3220A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1A772F"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45B36D8"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A53BE1C"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9B0F025"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xml:space="preserve">, com as informações que motivaram sua rejeição, contando-se o prazo estabelecido no subitem 6.2. </w:t>
      </w:r>
      <w:proofErr w:type="gramStart"/>
      <w:r>
        <w:rPr>
          <w:rFonts w:ascii="Calibri" w:hAnsi="Calibri" w:cs="Calibri"/>
          <w:color w:val="000000"/>
          <w:sz w:val="27"/>
          <w:szCs w:val="27"/>
        </w:rPr>
        <w:t>a</w:t>
      </w:r>
      <w:proofErr w:type="gramEnd"/>
      <w:r>
        <w:rPr>
          <w:rFonts w:ascii="Calibri" w:hAnsi="Calibri" w:cs="Calibri"/>
          <w:color w:val="000000"/>
          <w:sz w:val="27"/>
          <w:szCs w:val="27"/>
        </w:rPr>
        <w:t xml:space="preserve"> partir da data de sua reapresentação.</w:t>
      </w:r>
    </w:p>
    <w:p w14:paraId="23F98938"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711F1A7"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6705202"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06F55C"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BFFB412"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BABF4BA"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D84368"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99EE3B1"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i/>
          <w:iCs/>
          <w:color w:val="000000"/>
          <w:sz w:val="27"/>
          <w:szCs w:val="27"/>
        </w:rPr>
        <w:t>Base Legal: art. 40, III e art. 87, I, III e IV da Lei Federal nº 8.666/93 e art. 7º da Lei Federal nº 10.520/2002</w:t>
      </w:r>
    </w:p>
    <w:p w14:paraId="6F91E154"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Sem prejuízo das sanções cominadas no art. 87, I, III e IV, da Lei nº 8.666/93, pela inexecução total ou parcial do contrato, a Administração poderá, </w:t>
      </w:r>
      <w:r>
        <w:rPr>
          <w:rStyle w:val="Forte"/>
          <w:rFonts w:ascii="Calibri" w:eastAsiaTheme="majorEastAsia" w:hAnsi="Calibri" w:cs="Calibri"/>
          <w:color w:val="000000"/>
          <w:sz w:val="27"/>
          <w:szCs w:val="27"/>
        </w:rPr>
        <w:t>garantida a prévia e ampla defesa, aplicar à contratada multa de até 10% (dez por cento) sobre o valor da parcela inadimplida</w:t>
      </w:r>
      <w:r>
        <w:rPr>
          <w:rFonts w:ascii="Calibri" w:hAnsi="Calibri" w:cs="Calibri"/>
          <w:color w:val="000000"/>
          <w:sz w:val="27"/>
          <w:szCs w:val="27"/>
        </w:rPr>
        <w:t>.</w:t>
      </w:r>
    </w:p>
    <w:p w14:paraId="4A7E4029"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9.2.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adjudicado.</w:t>
      </w:r>
    </w:p>
    <w:p w14:paraId="68704D6B"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w:t>
      </w:r>
      <w:r>
        <w:rPr>
          <w:rStyle w:val="Forte"/>
          <w:rFonts w:ascii="Calibri" w:eastAsiaTheme="majorEastAsia" w:hAnsi="Calibri" w:cs="Calibri"/>
          <w:color w:val="000000"/>
          <w:sz w:val="27"/>
          <w:szCs w:val="27"/>
        </w:rPr>
        <w:t>devendo ser incluída a penalidade no SICAF e no CAGEFIMP (Cadastro Estadual de Fornecedores Impedidos de Licitar - CGE/RO)</w:t>
      </w:r>
      <w:r>
        <w:rPr>
          <w:rFonts w:ascii="Calibri" w:hAnsi="Calibri" w:cs="Calibri"/>
          <w:color w:val="000000"/>
          <w:sz w:val="27"/>
          <w:szCs w:val="27"/>
        </w:rPr>
        <w:t>.</w:t>
      </w:r>
    </w:p>
    <w:p w14:paraId="3756EA9F"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14:paraId="1C73AD0E"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previstas nesta seção não eximem a adjudicatária ou contratada da reparação dos eventuais danos, perdas ou prejuízos que seu ato punível venha causar à Administração.</w:t>
      </w:r>
    </w:p>
    <w:p w14:paraId="1CC2BD04"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5DA0E81"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A sanção denominada “Advertência”</w:t>
      </w:r>
      <w:r>
        <w:rPr>
          <w:rFonts w:ascii="Calibri" w:hAnsi="Calibri" w:cs="Calibri"/>
          <w:color w:val="000000"/>
          <w:sz w:val="27"/>
          <w:szCs w:val="27"/>
        </w:rPr>
        <w:t>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14:paraId="496B52B7"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9.8. São exemplos de infração administrativa penalizáveis, </w:t>
      </w:r>
      <w:proofErr w:type="spellStart"/>
      <w:r>
        <w:rPr>
          <w:rFonts w:ascii="Calibri" w:hAnsi="Calibri" w:cs="Calibri"/>
          <w:color w:val="000000"/>
          <w:sz w:val="27"/>
          <w:szCs w:val="27"/>
        </w:rPr>
        <w:t>nos</w:t>
      </w:r>
      <w:proofErr w:type="spellEnd"/>
      <w:r>
        <w:rPr>
          <w:rFonts w:ascii="Calibri" w:hAnsi="Calibri" w:cs="Calibri"/>
          <w:color w:val="000000"/>
          <w:sz w:val="27"/>
          <w:szCs w:val="27"/>
        </w:rPr>
        <w:t xml:space="preserve"> temos da Lei nº 8.666, de 1993, da Lei nº 10.520, de 2002, do Decreto nº 3.555, de 2000, e do Decreto nº 5.450, de 2005:</w:t>
      </w:r>
    </w:p>
    <w:p w14:paraId="35510708"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Inexecução total ou parcial do contrato;</w:t>
      </w:r>
    </w:p>
    <w:p w14:paraId="00877B8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Apresentação de documentação falsa;</w:t>
      </w:r>
    </w:p>
    <w:p w14:paraId="68999CD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Comportamento inidôneo;</w:t>
      </w:r>
    </w:p>
    <w:p w14:paraId="6821C40F"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w:t>
      </w:r>
      <w:r>
        <w:rPr>
          <w:rFonts w:ascii="Calibri" w:hAnsi="Calibri" w:cs="Calibri"/>
          <w:color w:val="000000"/>
          <w:sz w:val="27"/>
          <w:szCs w:val="27"/>
        </w:rPr>
        <w:t>  Fraude fiscal;</w:t>
      </w:r>
    </w:p>
    <w:p w14:paraId="726B5959"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  </w:t>
      </w:r>
      <w:r>
        <w:rPr>
          <w:rFonts w:ascii="Calibri" w:hAnsi="Calibri" w:cs="Calibri"/>
          <w:color w:val="000000"/>
          <w:sz w:val="27"/>
          <w:szCs w:val="27"/>
        </w:rPr>
        <w:t>Descumprimento de qualquer dos deveres elencados no Edital ou no Contrato.</w:t>
      </w:r>
    </w:p>
    <w:p w14:paraId="1B4FACBC"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As sanções serão aplicadas sem prejuízos da responsabilidade civil e criminal que possa ser acionada em desfavor da contratada, conforme infração cometida e prejuízos causados à administração ou a terceiros.</w:t>
      </w:r>
    </w:p>
    <w:p w14:paraId="5AA27672"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xml:space="preserve">9.10.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25A6DE9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As sanções aqui previstas poderão ser aplicadas concomitantemente, facultada a defesa prévia do interessado, no respectivo processo,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w:t>
      </w:r>
    </w:p>
    <w:p w14:paraId="0DB50A6A"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Após </w:t>
      </w:r>
      <w:r>
        <w:rPr>
          <w:rStyle w:val="Forte"/>
          <w:rFonts w:ascii="Calibri" w:eastAsiaTheme="majorEastAsia" w:hAnsi="Calibri" w:cs="Calibri"/>
          <w:color w:val="000000"/>
          <w:sz w:val="27"/>
          <w:szCs w:val="27"/>
        </w:rPr>
        <w:t>30 (trinta) dias</w:t>
      </w:r>
      <w:r>
        <w:rPr>
          <w:rFonts w:ascii="Calibri" w:hAnsi="Calibri" w:cs="Calibri"/>
          <w:color w:val="000000"/>
          <w:sz w:val="27"/>
          <w:szCs w:val="27"/>
        </w:rPr>
        <w:t> da falta de execução do objeto, será considerada inexecução total do contrato, o que ensejará a rescisão contratual.</w:t>
      </w:r>
    </w:p>
    <w:p w14:paraId="755D3EA6"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As sanções de natureza pecuniária serão diretamente descontadas de créditos que eventualmente detenha a CONTRATADA ou efetuada a sua cobrança na forma prevista em lei.</w:t>
      </w:r>
    </w:p>
    <w:p w14:paraId="153964B6"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5D95E13"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 autoridade competente, na aplicação das sanções, levará em consideração a gravidade da conduta do infrator, o caráter educativo da pena, bem como o dano causado à Administração, observado o princípio da proporcionalidade.</w:t>
      </w:r>
    </w:p>
    <w:p w14:paraId="0EFAF571"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u w:val="single"/>
        </w:rPr>
        <w:t>9.16. A sanção será obrigatoriamente registrada no sistema de Cadastramento Unificado de Fornecedor – SICAF, bem como em sistemas Estaduais</w:t>
      </w:r>
      <w:r>
        <w:rPr>
          <w:rFonts w:ascii="Calibri" w:hAnsi="Calibri" w:cs="Calibri"/>
          <w:color w:val="000000"/>
          <w:sz w:val="27"/>
          <w:szCs w:val="27"/>
        </w:rPr>
        <w:t>.</w:t>
      </w:r>
    </w:p>
    <w:p w14:paraId="4CA6B12A"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Também ficam sujeita às penalidades de suspensão de licitar e impedimento de contratar com o órgão licitante e de declaração de inidoneidade, prevista no subitem anterior, as empresas ou profissionais que, em razão do contrato decorrente desta licitação:</w:t>
      </w:r>
    </w:p>
    <w:p w14:paraId="31E76C2E"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Tenham sofrido condenações definitivas por praticarem, por meio dolosos, fraude fiscal no recolhimento de tributos;</w:t>
      </w:r>
    </w:p>
    <w:p w14:paraId="162DE4F9"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79B5EA23"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Demonstrem não possuir idoneidade para contratar com a Administração em virtude de atos ilícitos praticados.</w:t>
      </w:r>
    </w:p>
    <w:p w14:paraId="52E43E12"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9.18. Nenhuma sanção será aplicada sem o devido processo administrativo, que prevê defesa previa do interessado e recurso nos prazos definidos em Lei, sendo-lhe franqueada vista ao processo</w:t>
      </w:r>
      <w:r>
        <w:rPr>
          <w:rStyle w:val="nfase"/>
          <w:rFonts w:ascii="Calibri" w:eastAsiaTheme="minorEastAsia" w:hAnsi="Calibri" w:cs="Calibri"/>
          <w:color w:val="000000"/>
          <w:sz w:val="27"/>
          <w:szCs w:val="27"/>
        </w:rPr>
        <w:t>, fundamentação legal: (Artigo 7º da Lei 10.520/2002; Artigo 11, incisos XVII, XVII, XVIII, XIX e XX, c/c 40, III da Lei 8.666/93).</w:t>
      </w:r>
    </w:p>
    <w:p w14:paraId="192E0E09"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DD2C6A"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DFD9A6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51833BC"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C858B7D"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A450C3C"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5F31AC3"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5A5670D2"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1331B28"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A59277"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AF0BD44"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099B1F9"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34D4FE2"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7FE744E"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7C0C10E"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w:t>
      </w:r>
      <w:proofErr w:type="gramStart"/>
      <w:r>
        <w:rPr>
          <w:rFonts w:ascii="Calibri" w:hAnsi="Calibri" w:cs="Calibri"/>
          <w:color w:val="000000"/>
          <w:sz w:val="27"/>
          <w:szCs w:val="27"/>
        </w:rPr>
        <w:t>a</w:t>
      </w:r>
      <w:proofErr w:type="gramEnd"/>
      <w:r>
        <w:rPr>
          <w:rFonts w:ascii="Calibri" w:hAnsi="Calibri" w:cs="Calibri"/>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38BB2581"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E9AA398"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0D830757"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BD57AA"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58D90466"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88AAFC6"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B85F5EE"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D386B5F"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87C1963"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BE6F129"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5BE9805"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BDAE7C3"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7F9E5B5"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8EDF745"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C33D37A"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44DF1C"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C3035AC"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087F51A"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AD2DCAF"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668F153"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xml:space="preserve"> Efetuar o pagamento </w:t>
      </w:r>
      <w:proofErr w:type="gramStart"/>
      <w:r>
        <w:rPr>
          <w:rFonts w:ascii="Calibri" w:hAnsi="Calibri" w:cs="Calibri"/>
          <w:color w:val="000000"/>
          <w:sz w:val="27"/>
          <w:szCs w:val="27"/>
        </w:rPr>
        <w:t>à(</w:t>
      </w:r>
      <w:proofErr w:type="gramEnd"/>
      <w:r>
        <w:rPr>
          <w:rFonts w:ascii="Calibri" w:hAnsi="Calibri" w:cs="Calibri"/>
          <w:color w:val="000000"/>
          <w:sz w:val="27"/>
          <w:szCs w:val="27"/>
        </w:rPr>
        <w:t>s) contratada(s) de acordo com as condições de preços e prazos estabelecidos no edital e ata de registro de preços</w:t>
      </w:r>
    </w:p>
    <w:p w14:paraId="32FEEF7E"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93695CD" w14:textId="0B3D4F43"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sob </w:t>
      </w:r>
      <w:bookmarkStart w:id="1" w:name="_GoBack"/>
      <w:bookmarkEnd w:id="1"/>
      <w:r>
        <w:rPr>
          <w:rFonts w:ascii="Calibri" w:hAnsi="Calibri" w:cs="Calibri"/>
          <w:color w:val="000000"/>
          <w:sz w:val="27"/>
          <w:szCs w:val="27"/>
        </w:rPr>
        <w:t>hipótese alguma, pagamento antecipado.</w:t>
      </w:r>
    </w:p>
    <w:p w14:paraId="3E1DE24B"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7F24CD"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7B37FDF"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C3D7F14"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PC - </w:t>
      </w:r>
      <w:r>
        <w:rPr>
          <w:rFonts w:ascii="Calibri" w:hAnsi="Calibri" w:cs="Calibri"/>
          <w:color w:val="000000"/>
          <w:sz w:val="27"/>
          <w:szCs w:val="27"/>
        </w:rPr>
        <w:t>POLÍCIA CIVIL DO ESTADO DE RONDÔNIA.</w:t>
      </w:r>
    </w:p>
    <w:p w14:paraId="1E40FFDA"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FUNRESPOL -</w:t>
      </w:r>
      <w:r>
        <w:rPr>
          <w:rFonts w:ascii="Calibri" w:hAnsi="Calibri" w:cs="Calibri"/>
          <w:color w:val="000000"/>
          <w:sz w:val="27"/>
          <w:szCs w:val="27"/>
        </w:rPr>
        <w:t> FUNDO ESPECIAL DE REEQUIPAMENTO POLICIAL.</w:t>
      </w:r>
    </w:p>
    <w:p w14:paraId="3EA42304"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E01B9B"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58FEA44"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D1B0E30"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1FC3F52"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5161E9A"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CA0F6D9"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2ADB3D" w14:textId="77777777" w:rsidR="00AE0253" w:rsidRDefault="00AE0253" w:rsidP="00AE025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EE07ABD" w14:textId="170895D3" w:rsidR="00F165E8" w:rsidRPr="00AE0253"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4"/>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4904603&amp;infra_sistema=100000100&amp;infra_unidade_atual=110000213&amp;infra_hash=c640be128d26343591549fc076fb9de6d4368916dce6fdb5386265def15d487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855B29-7442-4781-A399-B297C7BEE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3167</Words>
  <Characters>17985</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2021-07-06T13:22:00Z</dcterms:created>
  <dcterms:modified xsi:type="dcterms:W3CDTF">2021-07-06T13:22:00Z</dcterms:modified>
</cp:coreProperties>
</file>