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960F8F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134/2021</w:t>
      </w:r>
    </w:p>
    <w:p w14:paraId="383B4C62"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745/2020</w:t>
      </w:r>
    </w:p>
    <w:p w14:paraId="55EE17B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w:t>
      </w:r>
      <w:hyperlink r:id="rId9" w:tgtFrame="_blank" w:history="1">
        <w:r>
          <w:rPr>
            <w:rStyle w:val="Hyperlink"/>
            <w:rFonts w:eastAsiaTheme="majorEastAsia"/>
            <w:sz w:val="27"/>
            <w:szCs w:val="27"/>
          </w:rPr>
          <w:t>0036.429385/2020-38</w:t>
        </w:r>
      </w:hyperlink>
    </w:p>
    <w:p w14:paraId="2A11296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F6DAD9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w:t>
      </w:r>
      <w:r>
        <w:rPr>
          <w:rStyle w:val="Forte"/>
          <w:rFonts w:eastAsiaTheme="majorEastAsia"/>
          <w:color w:val="000000"/>
          <w:sz w:val="27"/>
          <w:szCs w:val="27"/>
        </w:rPr>
        <w:t>PREÇO </w:t>
      </w:r>
      <w:r>
        <w:rPr>
          <w:color w:val="000000"/>
          <w:sz w:val="27"/>
          <w:szCs w:val="27"/>
        </w:rPr>
        <w:t>visando à futura, eventual aquisição de materiais de consumo "AVENTAIS" - (Materiais Médico-Hospitalares/Penso - Avental não estéril uso hospitalar 50g, avental não estéril uso hospitalar 30g, avental cirúrgico estéril 50g, avental impermeável fechado longo de pvc (vinil) laminado e outros), a pedido da Secretaria de Estado da Saúde de Rondônia - SESAU</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DA9E9B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A776280"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310AA69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materiais de consumo "AVENTAIS" - (Materiais Médico-Hospitalares/Penso - Avental não estéril uso hospitalar 50g, avental não estéril uso hospitalar 30g, avental cirúrgico estéril 50g, avental impermeável fechado longo de pvc (vinil) laminado e outros), a pedido do Fundo Especial da Secretaria de Estado da Saúde de Rondônia - SESAU.</w:t>
      </w:r>
    </w:p>
    <w:p w14:paraId="00A68DE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09ED1F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37E93AD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0983D84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220C455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BCC69D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7C04BA5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w:t>
      </w:r>
      <w:r>
        <w:rPr>
          <w:color w:val="000000"/>
          <w:sz w:val="27"/>
          <w:szCs w:val="27"/>
        </w:rPr>
        <w:lastRenderedPageBreak/>
        <w:t>utilização dos materiais e serviços são de responsabilidade exclusiva do ordenador de despesas do órgão requisitante.</w:t>
      </w:r>
    </w:p>
    <w:p w14:paraId="5C6D6AA7"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CA17AC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09F03D00"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6060E3AB"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00AF995"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4015702B"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117CED7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00AE355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3641E96F"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19A5071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6B0DD26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C4D731E"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1245F448"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0B93258"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w:t>
      </w:r>
      <w:proofErr w:type="gramStart"/>
      <w:r>
        <w:rPr>
          <w:rFonts w:ascii="Calibri" w:hAnsi="Calibri" w:cs="Calibri"/>
          <w:color w:val="000000"/>
          <w:sz w:val="27"/>
          <w:szCs w:val="27"/>
        </w:rPr>
        <w:t>c</w:t>
      </w:r>
      <w:proofErr w:type="gramEnd"/>
      <w:r>
        <w:rPr>
          <w:rFonts w:ascii="Calibri" w:hAnsi="Calibri" w:cs="Calibri"/>
          <w:color w:val="000000"/>
          <w:sz w:val="27"/>
          <w:szCs w:val="27"/>
        </w:rPr>
        <w:t xml:space="preserve"> o art. 73 inciso II, “a” e “b”, da Lei 8.666/93 e alterações.</w:t>
      </w:r>
    </w:p>
    <w:p w14:paraId="7BCD18A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 xml:space="preserve">não superior a 30 (trinta) dias corridos, contado a partir da confirmação </w:t>
      </w:r>
      <w:proofErr w:type="gramStart"/>
      <w:r>
        <w:rPr>
          <w:rStyle w:val="Forte"/>
          <w:rFonts w:ascii="Calibri" w:eastAsiaTheme="majorEastAsia" w:hAnsi="Calibri" w:cs="Calibri"/>
          <w:color w:val="000000"/>
          <w:sz w:val="27"/>
          <w:szCs w:val="27"/>
        </w:rPr>
        <w:t>de  recebimento</w:t>
      </w:r>
      <w:proofErr w:type="gramEnd"/>
      <w:r>
        <w:rPr>
          <w:rStyle w:val="Forte"/>
          <w:rFonts w:ascii="Calibri" w:eastAsiaTheme="majorEastAsia" w:hAnsi="Calibri" w:cs="Calibri"/>
          <w:color w:val="000000"/>
          <w:sz w:val="27"/>
          <w:szCs w:val="27"/>
        </w:rPr>
        <w:t xml:space="preserve"> da Nota de Empenho</w:t>
      </w:r>
    </w:p>
    <w:p w14:paraId="0638CCB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na </w:t>
      </w:r>
      <w:r>
        <w:rPr>
          <w:rStyle w:val="Forte"/>
          <w:rFonts w:ascii="Calibri" w:eastAsiaTheme="majorEastAsia" w:hAnsi="Calibri" w:cs="Calibri"/>
          <w:color w:val="000000"/>
          <w:sz w:val="27"/>
          <w:szCs w:val="27"/>
        </w:rPr>
        <w:t>Central de Abastecimento Farmacêutico - CAF II,</w:t>
      </w:r>
      <w:r>
        <w:rPr>
          <w:rFonts w:ascii="Calibri" w:hAnsi="Calibri" w:cs="Calibri"/>
          <w:color w:val="000000"/>
          <w:sz w:val="27"/>
          <w:szCs w:val="27"/>
        </w:rPr>
        <w:t> sito à Rua: Aparício de Morais nº 4378 – bairro: Setor Industrial, CEP: 76824-128, na cidade de Porto Velho/RO. Os dias de funcionamento são de segunda-feira a sexta-feira das 07h30 às 13h30.</w:t>
      </w:r>
    </w:p>
    <w:p w14:paraId="4C1150FB"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F5C8D3E"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2CA3581E"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1178538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50288F8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3F17C83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7.4.</w:t>
      </w:r>
      <w:r>
        <w:rPr>
          <w:color w:val="000000"/>
          <w:sz w:val="27"/>
          <w:szCs w:val="27"/>
        </w:rPr>
        <w:t> A devolução da nota fiscal não aprovada, em hipótese alguma, servirá de pretexto para que a empresa detentora da Ata suspenda quaisquer fornecimentos.</w:t>
      </w:r>
    </w:p>
    <w:p w14:paraId="0E690EC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6F6964A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9472B8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7A5D407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67FFDEF"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73DA3D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72C3967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547157BC"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1B3F99CC"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Ensejar o retardamento da execução do objeto;</w:t>
      </w:r>
    </w:p>
    <w:p w14:paraId="71FBDA0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65E95F1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44F1057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6D6C5EF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7184A377"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087FF5C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3005B72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 (dez por cento) sobre o valor adjudicado.</w:t>
      </w:r>
    </w:p>
    <w:p w14:paraId="664F37EA"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0820FE6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w:t>
      </w:r>
      <w:r>
        <w:rPr>
          <w:rFonts w:ascii="Calibri" w:hAnsi="Calibri" w:cs="Calibri"/>
          <w:color w:val="000000"/>
          <w:sz w:val="27"/>
          <w:szCs w:val="27"/>
        </w:rPr>
        <w:lastRenderedPageBreak/>
        <w:t>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74CD5D15"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578E565"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A05036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D6114C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10663E1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D694D6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BCA453A"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69CE846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32B973E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FA11A26"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3274EF7C"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4B142D0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60115716"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1446E18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7E45C4A9"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xml:space="preserve">II - Multa, cobrada pelo Estado, por via administrativa ou </w:t>
      </w:r>
      <w:proofErr w:type="gramStart"/>
      <w:r>
        <w:rPr>
          <w:rFonts w:ascii="Calibri" w:hAnsi="Calibri" w:cs="Calibri"/>
          <w:color w:val="000000"/>
          <w:sz w:val="27"/>
          <w:szCs w:val="27"/>
        </w:rPr>
        <w:t>judicial,  de</w:t>
      </w:r>
      <w:proofErr w:type="gramEnd"/>
      <w:r>
        <w:rPr>
          <w:rFonts w:ascii="Calibri" w:hAnsi="Calibri" w:cs="Calibri"/>
          <w:color w:val="000000"/>
          <w:sz w:val="27"/>
          <w:szCs w:val="27"/>
        </w:rPr>
        <w:t xml:space="preserve"> acordo com os casos descritos abaixo:</w:t>
      </w:r>
    </w:p>
    <w:p w14:paraId="55968D71"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0BBD003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6CBF1C58"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Fonts w:ascii="Calibri" w:hAnsi="Calibri" w:cs="Calibri"/>
          <w:color w:val="000000"/>
          <w:sz w:val="27"/>
          <w:szCs w:val="27"/>
        </w:rPr>
        <w:t>c) As</w:t>
      </w:r>
      <w:proofErr w:type="gramEnd"/>
      <w:r>
        <w:rPr>
          <w:rFonts w:ascii="Calibri" w:hAnsi="Calibri" w:cs="Calibri"/>
          <w:color w:val="000000"/>
          <w:sz w:val="27"/>
          <w:szCs w:val="27"/>
        </w:rPr>
        <w:t xml:space="preserve"> multas serão, após regular processo administrativo, descontadas dos créditos da empresa detentora da Ata ou, se for o caso, cobrada administrativa ou judicialmente.</w:t>
      </w:r>
    </w:p>
    <w:p w14:paraId="7AAF434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30B580A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w:t>
      </w:r>
      <w:proofErr w:type="gramStart"/>
      <w:r>
        <w:rPr>
          <w:rFonts w:ascii="Calibri" w:hAnsi="Calibri" w:cs="Calibri"/>
          <w:color w:val="000000"/>
          <w:sz w:val="27"/>
          <w:szCs w:val="27"/>
        </w:rPr>
        <w:t>declaração</w:t>
      </w:r>
      <w:proofErr w:type="gramEnd"/>
      <w:r>
        <w:rPr>
          <w:rFonts w:ascii="Calibri" w:hAnsi="Calibri" w:cs="Calibri"/>
          <w:color w:val="000000"/>
          <w:sz w:val="27"/>
          <w:szCs w:val="27"/>
        </w:rPr>
        <w:t xml:space="preserve"> de inidoneidade para licitar e contratar com a Administração Pública enquanto perdurarem os motivos determinantes da punição ou até que seja promovida a reabilitação perante a própria autoridade que aplicou a penalidade.</w:t>
      </w:r>
    </w:p>
    <w:p w14:paraId="3E15F3A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6B31AEE6"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6C0FAE3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09AFC73"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44D38F7C"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Fonts w:ascii="Calibri" w:hAnsi="Calibri" w:cs="Calibri"/>
          <w:color w:val="000000"/>
          <w:sz w:val="27"/>
          <w:szCs w:val="27"/>
        </w:rPr>
        <w:t>art</w:t>
      </w:r>
      <w:proofErr w:type="spellEnd"/>
      <w:r>
        <w:rPr>
          <w:rFonts w:ascii="Calibri" w:hAnsi="Calibri" w:cs="Calibri"/>
          <w:color w:val="000000"/>
          <w:sz w:val="27"/>
          <w:szCs w:val="27"/>
        </w:rPr>
        <w:t xml:space="preserve"> </w:t>
      </w:r>
      <w:proofErr w:type="gramStart"/>
      <w:r>
        <w:rPr>
          <w:rFonts w:ascii="Calibri" w:hAnsi="Calibri" w:cs="Calibri"/>
          <w:color w:val="000000"/>
          <w:sz w:val="27"/>
          <w:szCs w:val="27"/>
        </w:rPr>
        <w:t>109 inciso</w:t>
      </w:r>
      <w:proofErr w:type="gramEnd"/>
      <w:r>
        <w:rPr>
          <w:rFonts w:ascii="Calibri" w:hAnsi="Calibri" w:cs="Calibri"/>
          <w:color w:val="000000"/>
          <w:sz w:val="27"/>
          <w:szCs w:val="27"/>
        </w:rPr>
        <w:t xml:space="preserve"> III da Lei Federal nº 8.666/93)</w:t>
      </w:r>
    </w:p>
    <w:p w14:paraId="03345B5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w:t>
      </w:r>
      <w:proofErr w:type="gramStart"/>
      <w:r>
        <w:rPr>
          <w:rFonts w:ascii="Calibri" w:hAnsi="Calibri" w:cs="Calibri"/>
          <w:color w:val="000000"/>
          <w:sz w:val="27"/>
          <w:szCs w:val="27"/>
        </w:rPr>
        <w:t>à</w:t>
      </w:r>
      <w:proofErr w:type="gramEnd"/>
      <w:r>
        <w:rPr>
          <w:rFonts w:ascii="Calibri" w:hAnsi="Calibri" w:cs="Calibri"/>
          <w:color w:val="000000"/>
          <w:sz w:val="27"/>
          <w:szCs w:val="27"/>
        </w:rPr>
        <w:t xml:space="preserve"> todos os entes Federativo e os efeitos do subitem 9.4 ao Ente Federativo que aplicou a sanção conforme posicionamento do STJ e PGE/RO.</w:t>
      </w:r>
    </w:p>
    <w:p w14:paraId="0AA1FE6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03A9029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05D6526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0A23793C"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9.16.3 - </w:t>
      </w:r>
      <w:r>
        <w:rPr>
          <w:rFonts w:ascii="Calibri" w:hAnsi="Calibri" w:cs="Calibri"/>
          <w:color w:val="000000"/>
          <w:sz w:val="27"/>
          <w:szCs w:val="27"/>
        </w:rPr>
        <w:t>O preço registrado poderá ser cancelado pela Administração Pública, nos termos do Artigo 24 e 25 do Decreto nº 18.340/2013, quando:</w:t>
      </w:r>
    </w:p>
    <w:p w14:paraId="0DEEBA7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1A755E3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3ABA917"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0B8293A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2B680FC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nº 8.666/93 ou no artigo 7º da Lei nº 10.520/2002.</w:t>
      </w:r>
    </w:p>
    <w:p w14:paraId="52329E36"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7AEC51AF"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registro(s) nas hipóteses dos subitens, 9.16.3.1, 9.16.3.2, 9.16.3.3, 9.16.3.4, 9.16.3.5, 9.16.3.6, será formalizado por despacho do órgão gerenciador, assegurado o contraditório e a ampla defesa.</w:t>
      </w:r>
    </w:p>
    <w:p w14:paraId="57069F22"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 xml:space="preserve">O cancelamento </w:t>
      </w:r>
      <w:proofErr w:type="gramStart"/>
      <w:r>
        <w:rPr>
          <w:rFonts w:ascii="Calibri" w:hAnsi="Calibri" w:cs="Calibri"/>
          <w:color w:val="000000"/>
          <w:sz w:val="27"/>
          <w:szCs w:val="27"/>
        </w:rPr>
        <w:t>do(</w:t>
      </w:r>
      <w:proofErr w:type="gramEnd"/>
      <w:r>
        <w:rPr>
          <w:rFonts w:ascii="Calibri" w:hAnsi="Calibri" w:cs="Calibri"/>
          <w:color w:val="000000"/>
          <w:sz w:val="27"/>
          <w:szCs w:val="27"/>
        </w:rPr>
        <w:t>s) registro nas hipóteses dos subitens acima, 9.16.3.1, 9.16.3.2, 9.16.3.3, 9.16.3.4, 9.16.3.5, acarretará ainda a aplicação das penalidades cabíveis, assegurado o contraditório e a ampla defesa.</w:t>
      </w:r>
    </w:p>
    <w:p w14:paraId="3413BF3B"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749C192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proofErr w:type="gramStart"/>
      <w:r>
        <w:rPr>
          <w:rStyle w:val="Forte"/>
          <w:rFonts w:ascii="Calibri" w:eastAsiaTheme="majorEastAsia" w:hAnsi="Calibri" w:cs="Calibri"/>
          <w:color w:val="000000"/>
          <w:sz w:val="27"/>
          <w:szCs w:val="27"/>
        </w:rPr>
        <w:t>I) Por</w:t>
      </w:r>
      <w:proofErr w:type="gramEnd"/>
      <w:r>
        <w:rPr>
          <w:rStyle w:val="Forte"/>
          <w:rFonts w:ascii="Calibri" w:eastAsiaTheme="majorEastAsia" w:hAnsi="Calibri" w:cs="Calibri"/>
          <w:color w:val="000000"/>
          <w:sz w:val="27"/>
          <w:szCs w:val="27"/>
        </w:rPr>
        <w:t xml:space="preserve"> razões de interesse público;</w:t>
      </w:r>
    </w:p>
    <w:p w14:paraId="237D6AB3"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1D7308C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61258E04"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78C61EB8"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63956EE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76CD847D"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609C0E" w14:textId="77777777" w:rsidR="00B26ECE" w:rsidRDefault="00B26ECE" w:rsidP="00B26EC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4FAD9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59C4226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xml:space="preserve"> Nos termos do Artigo 26 do Decreto Estadual 18.340/13, esta Ata de Registro de Preços, durante a sua vigência, poderá ser utilizada por qualquer órgão ou entidade da Administração </w:t>
      </w:r>
      <w:r>
        <w:rPr>
          <w:color w:val="000000"/>
          <w:sz w:val="27"/>
          <w:szCs w:val="27"/>
        </w:rPr>
        <w:lastRenderedPageBreak/>
        <w:t>Pública Estadual que não tenha participado do certame licitatório, mediante anuência do órgão gerenciador.</w:t>
      </w:r>
    </w:p>
    <w:p w14:paraId="5469608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9A8E5F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0F8B4D8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E295C1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43BE3BA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7403BED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EBD7FB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56D99D7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57AE672"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6E7AC2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0C4676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9BFB157"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1A02FEB2"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7FF1B875"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73E5520"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54B585"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5C483C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7EFF9E83"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2F70FD27"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1CAC9AD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24BDADA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BBBE7A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2B3323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7F9AFA97"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78C680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0804B21"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4CF28C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0A5D04F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94059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22A762D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0A87F561"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1CDD35D9"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6D6794BB"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lastRenderedPageBreak/>
        <w:t>13.4.</w:t>
      </w:r>
      <w:r>
        <w:rPr>
          <w:color w:val="000000"/>
          <w:sz w:val="27"/>
          <w:szCs w:val="27"/>
        </w:rPr>
        <w:t> Efetuar o pagamento à(s) contratada(s) de acordo com as condições de preços e prazos estabelecidos no edital e ata de registro de preços</w:t>
      </w:r>
    </w:p>
    <w:p w14:paraId="39C1AE0A"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63E82E2"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372FFC5B"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6F10A3F"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2822EEE7"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5F33C97D"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SESAU - </w:t>
      </w:r>
      <w:r>
        <w:rPr>
          <w:color w:val="000000"/>
          <w:sz w:val="27"/>
          <w:szCs w:val="27"/>
        </w:rPr>
        <w:t>Secretaria de Estado da Saúde de Rondônia </w:t>
      </w:r>
    </w:p>
    <w:p w14:paraId="60C5BBBE"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CC0411E"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168ECE41"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F8B497C"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1D8F0AE4"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3A19596"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 o Edital de Licitação e seus anexos, bem como, o </w:t>
      </w:r>
      <w:r>
        <w:rPr>
          <w:rStyle w:val="Forte"/>
          <w:rFonts w:eastAsiaTheme="majorEastAsia"/>
          <w:color w:val="000000"/>
          <w:sz w:val="27"/>
          <w:szCs w:val="27"/>
        </w:rPr>
        <w:t>ANEXO ÚNICO</w:t>
      </w:r>
      <w:r>
        <w:rPr>
          <w:color w:val="000000"/>
          <w:sz w:val="27"/>
          <w:szCs w:val="27"/>
        </w:rPr>
        <w:t> desta ata que contém os preços registrados e respectivos detentores.</w:t>
      </w:r>
    </w:p>
    <w:p w14:paraId="38F45D48"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11AB5911" w14:textId="77777777" w:rsidR="00B26ECE" w:rsidRDefault="00B26ECE" w:rsidP="00B26ECE">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29479DFD" w14:textId="6E42F294" w:rsidR="00794257" w:rsidRDefault="00794257" w:rsidP="00794257">
      <w:pPr>
        <w:pStyle w:val="newtextojustificado"/>
        <w:spacing w:before="120" w:beforeAutospacing="0" w:after="120" w:afterAutospacing="0"/>
        <w:ind w:left="120" w:right="120"/>
        <w:jc w:val="both"/>
        <w:rPr>
          <w:color w:val="000000"/>
          <w:sz w:val="27"/>
          <w:szCs w:val="27"/>
        </w:rPr>
      </w:pPr>
    </w:p>
    <w:p w14:paraId="6221335A" w14:textId="4B6EB014" w:rsidR="00EE0535" w:rsidRDefault="00EE0535" w:rsidP="00EE0535">
      <w:pPr>
        <w:pStyle w:val="newtextojustificado"/>
        <w:spacing w:before="120" w:beforeAutospacing="0" w:after="120" w:afterAutospacing="0"/>
        <w:ind w:left="120" w:right="120"/>
        <w:jc w:val="both"/>
        <w:rPr>
          <w:color w:val="000000"/>
          <w:sz w:val="27"/>
          <w:szCs w:val="27"/>
        </w:rPr>
      </w:pPr>
    </w:p>
    <w:p w14:paraId="4B8B74E5" w14:textId="04C6B538" w:rsidR="00ED3DE7" w:rsidRPr="003D4AA4" w:rsidRDefault="00ED3DE7" w:rsidP="008732BB">
      <w:pPr>
        <w:pStyle w:val="newtextojustificado"/>
        <w:spacing w:before="120" w:beforeAutospacing="0" w:after="120" w:afterAutospacing="0"/>
        <w:ind w:right="120"/>
        <w:jc w:val="both"/>
        <w:rPr>
          <w:color w:val="000000"/>
          <w:sz w:val="20"/>
          <w:szCs w:val="20"/>
        </w:rPr>
      </w:pPr>
    </w:p>
    <w:p w14:paraId="27EA8FDB" w14:textId="42B2E3F0" w:rsidR="00D807DA" w:rsidRPr="0049609D" w:rsidRDefault="00D807DA" w:rsidP="00D807DA">
      <w:pPr>
        <w:pStyle w:val="newtextojustificado"/>
        <w:spacing w:before="120" w:beforeAutospacing="0" w:after="120" w:afterAutospacing="0"/>
        <w:ind w:left="120" w:right="120"/>
        <w:jc w:val="both"/>
        <w:rPr>
          <w:color w:val="000000"/>
          <w:sz w:val="20"/>
          <w:szCs w:val="20"/>
        </w:rPr>
      </w:pPr>
    </w:p>
    <w:p w14:paraId="51C2CF1F" w14:textId="4A879BB9" w:rsidR="003B0026" w:rsidRPr="0049609D" w:rsidRDefault="003B0026" w:rsidP="003B0026">
      <w:pPr>
        <w:pStyle w:val="textojustificado"/>
        <w:spacing w:before="0" w:beforeAutospacing="0" w:after="0" w:afterAutospacing="0"/>
        <w:ind w:left="120" w:right="120"/>
        <w:jc w:val="both"/>
        <w:rPr>
          <w:rFonts w:ascii="Arial" w:hAnsi="Arial" w:cs="Arial"/>
          <w:bCs/>
          <w:color w:val="000000"/>
          <w:sz w:val="20"/>
          <w:szCs w:val="20"/>
          <w:lang w:val="pt-PT"/>
        </w:rPr>
      </w:pPr>
    </w:p>
    <w:p w14:paraId="49FC5C23" w14:textId="77777777" w:rsidR="00060B51" w:rsidRPr="008732BB" w:rsidRDefault="00060B51" w:rsidP="009D2314">
      <w:pPr>
        <w:jc w:val="both"/>
        <w:rPr>
          <w:rFonts w:ascii="Arial" w:hAnsi="Arial" w:cs="Arial"/>
          <w:b/>
          <w:bCs/>
          <w:sz w:val="27"/>
          <w:szCs w:val="27"/>
        </w:rPr>
      </w:pPr>
    </w:p>
    <w:p w14:paraId="320BEB0C" w14:textId="77777777" w:rsidR="000B1908" w:rsidRPr="008732BB" w:rsidRDefault="000B1908" w:rsidP="009D2314">
      <w:pPr>
        <w:ind w:right="47"/>
        <w:jc w:val="both"/>
        <w:rPr>
          <w:b/>
          <w:bCs/>
          <w:color w:val="000000"/>
          <w:sz w:val="27"/>
          <w:szCs w:val="27"/>
        </w:rPr>
      </w:pPr>
    </w:p>
    <w:p w14:paraId="0E44F2C5" w14:textId="77777777" w:rsidR="009D2314" w:rsidRPr="00B26ECE" w:rsidRDefault="009D2314" w:rsidP="009D2314">
      <w:pPr>
        <w:ind w:right="47"/>
        <w:jc w:val="both"/>
        <w:rPr>
          <w:b/>
          <w:bCs/>
          <w:color w:val="000000"/>
          <w:sz w:val="24"/>
          <w:szCs w:val="24"/>
        </w:rPr>
      </w:pPr>
      <w:r w:rsidRPr="00B26ECE">
        <w:rPr>
          <w:b/>
          <w:bCs/>
          <w:color w:val="000000"/>
          <w:sz w:val="24"/>
          <w:szCs w:val="24"/>
        </w:rPr>
        <w:t>ÓRGÃO GERENCIADOR:</w:t>
      </w:r>
    </w:p>
    <w:p w14:paraId="0E827DFF" w14:textId="61D5A023" w:rsidR="001E248D" w:rsidRPr="00B26ECE" w:rsidRDefault="001E248D" w:rsidP="004B46F8">
      <w:pPr>
        <w:pStyle w:val="textojustificado"/>
        <w:spacing w:before="120" w:beforeAutospacing="0" w:after="120" w:afterAutospacing="0"/>
        <w:ind w:right="120"/>
        <w:jc w:val="both"/>
        <w:rPr>
          <w:b/>
          <w:bCs/>
          <w:color w:val="000000"/>
        </w:rPr>
      </w:pPr>
    </w:p>
    <w:p w14:paraId="42C100A7" w14:textId="77777777" w:rsidR="007F45BF" w:rsidRPr="00B26ECE" w:rsidRDefault="007F45BF" w:rsidP="007F45BF">
      <w:pPr>
        <w:pStyle w:val="textojustificado"/>
        <w:spacing w:before="120" w:beforeAutospacing="0" w:after="120" w:afterAutospacing="0"/>
        <w:ind w:right="120"/>
        <w:jc w:val="both"/>
        <w:rPr>
          <w:bCs/>
        </w:rPr>
      </w:pPr>
      <w:r w:rsidRPr="00B26ECE">
        <w:rPr>
          <w:b/>
        </w:rPr>
        <w:t>GENEAN PRESTES DOS SANTOS</w:t>
      </w:r>
    </w:p>
    <w:p w14:paraId="6B52F4CA" w14:textId="608F628F" w:rsidR="007F45BF" w:rsidRPr="00B26ECE" w:rsidRDefault="007F45BF" w:rsidP="00FF2590">
      <w:pPr>
        <w:pStyle w:val="textojustificado"/>
        <w:spacing w:before="0" w:beforeAutospacing="0" w:after="0" w:afterAutospacing="0"/>
        <w:ind w:right="120"/>
        <w:jc w:val="both"/>
        <w:rPr>
          <w:bCs/>
          <w:color w:val="000000"/>
        </w:rPr>
      </w:pPr>
      <w:r w:rsidRPr="00B26ECE">
        <w:rPr>
          <w:bCs/>
          <w:color w:val="000000"/>
        </w:rPr>
        <w:t>Coordenadora do Sistema de Registro de Preços/SUPEL</w:t>
      </w:r>
    </w:p>
    <w:p w14:paraId="3990B506" w14:textId="77777777" w:rsidR="003B0026" w:rsidRPr="00B26ECE" w:rsidRDefault="003B0026" w:rsidP="00FF2590">
      <w:pPr>
        <w:pStyle w:val="textojustificado"/>
        <w:spacing w:before="0" w:beforeAutospacing="0" w:after="0" w:afterAutospacing="0"/>
        <w:ind w:right="120"/>
        <w:jc w:val="both"/>
        <w:rPr>
          <w:bCs/>
          <w:color w:val="000000"/>
        </w:rPr>
      </w:pPr>
    </w:p>
    <w:p w14:paraId="77C4F065" w14:textId="77777777" w:rsidR="00FF2590" w:rsidRPr="00B26ECE" w:rsidRDefault="00FF2590" w:rsidP="00FF2590">
      <w:pPr>
        <w:pStyle w:val="textojustificado"/>
        <w:spacing w:before="0" w:beforeAutospacing="0" w:after="0" w:afterAutospacing="0"/>
        <w:ind w:right="120"/>
        <w:jc w:val="both"/>
        <w:rPr>
          <w:bCs/>
          <w:color w:val="000000"/>
        </w:rPr>
      </w:pPr>
    </w:p>
    <w:p w14:paraId="6885EBE8" w14:textId="0B83B11A" w:rsidR="007F45BF" w:rsidRPr="00B26ECE" w:rsidRDefault="007F45BF" w:rsidP="007F45BF">
      <w:pPr>
        <w:pStyle w:val="textojustificado"/>
        <w:spacing w:before="120" w:beforeAutospacing="0" w:after="120" w:afterAutospacing="0"/>
        <w:ind w:right="120"/>
        <w:jc w:val="both"/>
        <w:rPr>
          <w:b/>
        </w:rPr>
      </w:pPr>
      <w:r w:rsidRPr="00B26ECE">
        <w:rPr>
          <w:b/>
          <w:bCs/>
        </w:rPr>
        <w:t>AMANDA TALITA DE SOUSA GA</w:t>
      </w:r>
      <w:r w:rsidR="00182991" w:rsidRPr="00B26ECE">
        <w:rPr>
          <w:b/>
          <w:bCs/>
        </w:rPr>
        <w:t>LINA                           </w:t>
      </w:r>
      <w:r w:rsidRPr="00B26ECE">
        <w:rPr>
          <w:b/>
          <w:bCs/>
        </w:rPr>
        <w:t> ISRAEL EVANGELISTA DA SILVA</w:t>
      </w:r>
    </w:p>
    <w:p w14:paraId="74B80D4D" w14:textId="77777777" w:rsidR="007F45BF" w:rsidRPr="00B26ECE" w:rsidRDefault="007F45BF" w:rsidP="007F45BF">
      <w:pPr>
        <w:pStyle w:val="textojustificado"/>
        <w:spacing w:before="0" w:beforeAutospacing="0" w:after="0" w:afterAutospacing="0"/>
        <w:ind w:right="120"/>
        <w:jc w:val="both"/>
        <w:rPr>
          <w:bCs/>
          <w:color w:val="000000"/>
        </w:rPr>
      </w:pPr>
      <w:r w:rsidRPr="00B26ECE">
        <w:rPr>
          <w:bCs/>
          <w:color w:val="000000"/>
        </w:rPr>
        <w:t>Diretora Executiva/SUPEL                                                 Superintendente Estadual de Compras e Licitações/SUPEL</w:t>
      </w:r>
    </w:p>
    <w:p w14:paraId="36244E94" w14:textId="0BBD079E" w:rsidR="001E248D" w:rsidRPr="00B26ECE" w:rsidRDefault="001E248D" w:rsidP="00FF2590">
      <w:pPr>
        <w:pStyle w:val="textojustificado"/>
        <w:spacing w:before="120" w:beforeAutospacing="0" w:after="120" w:afterAutospacing="0"/>
        <w:ind w:left="120" w:right="120"/>
        <w:jc w:val="both"/>
        <w:rPr>
          <w:b/>
          <w:bCs/>
          <w:color w:val="000000"/>
        </w:rPr>
      </w:pPr>
      <w:r w:rsidRPr="00B26ECE">
        <w:rPr>
          <w:b/>
          <w:bCs/>
          <w:color w:val="000000"/>
        </w:rPr>
        <w:lastRenderedPageBreak/>
        <w:t> </w:t>
      </w:r>
    </w:p>
    <w:p w14:paraId="29E75391" w14:textId="77777777" w:rsidR="001E248D" w:rsidRPr="00B26ECE" w:rsidRDefault="001E248D" w:rsidP="001E248D">
      <w:pPr>
        <w:pStyle w:val="textojustificado"/>
        <w:spacing w:before="120" w:beforeAutospacing="0" w:after="120" w:afterAutospacing="0"/>
        <w:ind w:right="120"/>
        <w:jc w:val="both"/>
        <w:rPr>
          <w:b/>
          <w:bCs/>
          <w:color w:val="000000"/>
        </w:rPr>
      </w:pPr>
      <w:proofErr w:type="gramStart"/>
      <w:r w:rsidRPr="00B26ECE">
        <w:rPr>
          <w:b/>
        </w:rPr>
        <w:t>EMPRESA(</w:t>
      </w:r>
      <w:proofErr w:type="gramEnd"/>
      <w:r w:rsidRPr="00B26ECE">
        <w:rPr>
          <w:b/>
        </w:rPr>
        <w:t>S) DETENTORA(S):</w:t>
      </w:r>
    </w:p>
    <w:p w14:paraId="2A7DA650" w14:textId="77777777" w:rsidR="001E248D" w:rsidRPr="00B26ECE" w:rsidRDefault="001E248D" w:rsidP="001E248D">
      <w:pPr>
        <w:pStyle w:val="textojustificado"/>
        <w:spacing w:before="120" w:beforeAutospacing="0" w:after="120" w:afterAutospacing="0"/>
        <w:ind w:right="120"/>
        <w:jc w:val="both"/>
        <w:rPr>
          <w:b/>
          <w:bCs/>
          <w:color w:val="000000"/>
        </w:rPr>
      </w:pPr>
      <w:proofErr w:type="gramStart"/>
      <w:r w:rsidRPr="00B26ECE">
        <w:rPr>
          <w:b/>
        </w:rPr>
        <w:t>Qualificada(</w:t>
      </w:r>
      <w:proofErr w:type="gramEnd"/>
      <w:r w:rsidRPr="00B26ECE">
        <w:rPr>
          <w:b/>
        </w:rPr>
        <w:t>s) no Anexo Único desta Ata</w:t>
      </w:r>
    </w:p>
    <w:p w14:paraId="364C3F3C" w14:textId="77777777" w:rsidR="00F14932" w:rsidRPr="00B26ECE" w:rsidRDefault="00F14932" w:rsidP="00526790">
      <w:pPr>
        <w:ind w:right="47"/>
        <w:jc w:val="both"/>
        <w:rPr>
          <w:b/>
          <w:bCs/>
          <w:color w:val="000000"/>
          <w:sz w:val="24"/>
          <w:szCs w:val="24"/>
        </w:rPr>
      </w:pPr>
    </w:p>
    <w:p w14:paraId="618B9BE7" w14:textId="77777777" w:rsidR="00060B51" w:rsidRPr="00B26ECE" w:rsidRDefault="00060B51" w:rsidP="00526790">
      <w:pPr>
        <w:ind w:right="47"/>
        <w:jc w:val="both"/>
        <w:rPr>
          <w:b/>
          <w:bCs/>
          <w:color w:val="000000"/>
          <w:sz w:val="24"/>
          <w:szCs w:val="24"/>
        </w:rPr>
      </w:pPr>
    </w:p>
    <w:p w14:paraId="1AD52E1E" w14:textId="0C0DB707" w:rsidR="00C50BF7" w:rsidRPr="00B26ECE" w:rsidRDefault="003B0026" w:rsidP="00526790">
      <w:pPr>
        <w:ind w:right="47"/>
        <w:jc w:val="both"/>
        <w:rPr>
          <w:b/>
          <w:bCs/>
          <w:color w:val="000000"/>
          <w:sz w:val="24"/>
          <w:szCs w:val="24"/>
        </w:rPr>
      </w:pPr>
      <w:r w:rsidRPr="00B26ECE">
        <w:rPr>
          <w:b/>
          <w:bCs/>
          <w:color w:val="000000"/>
          <w:sz w:val="24"/>
          <w:szCs w:val="24"/>
        </w:rPr>
        <w:t>CMV</w:t>
      </w:r>
      <w:r w:rsidR="00BB7E64" w:rsidRPr="00B26ECE">
        <w:rPr>
          <w:b/>
          <w:bCs/>
          <w:color w:val="000000"/>
          <w:sz w:val="24"/>
          <w:szCs w:val="24"/>
        </w:rPr>
        <w:t>/</w:t>
      </w:r>
      <w:r w:rsidR="00BA5836" w:rsidRPr="00B26ECE">
        <w:rPr>
          <w:b/>
          <w:bCs/>
          <w:color w:val="000000"/>
          <w:sz w:val="24"/>
          <w:szCs w:val="24"/>
        </w:rPr>
        <w:t>SRP</w:t>
      </w:r>
      <w:bookmarkStart w:id="1" w:name="_GoBack"/>
      <w:bookmarkEnd w:id="1"/>
    </w:p>
    <w:sectPr w:rsidR="00C50BF7" w:rsidRPr="00B26ECE"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4594"/>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4AA4"/>
    <w:rsid w:val="003D500D"/>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9609D"/>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290B"/>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257"/>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2BB"/>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A7BE5"/>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6ECE"/>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377B0"/>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3669"/>
    <w:rsid w:val="00D50661"/>
    <w:rsid w:val="00D53DB9"/>
    <w:rsid w:val="00D5545F"/>
    <w:rsid w:val="00D63A4B"/>
    <w:rsid w:val="00D668F0"/>
    <w:rsid w:val="00D678C8"/>
    <w:rsid w:val="00D7089B"/>
    <w:rsid w:val="00D74634"/>
    <w:rsid w:val="00D75B36"/>
    <w:rsid w:val="00D77206"/>
    <w:rsid w:val="00D807DA"/>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DE7"/>
    <w:rsid w:val="00ED3ED3"/>
    <w:rsid w:val="00ED6824"/>
    <w:rsid w:val="00EE0411"/>
    <w:rsid w:val="00EE0535"/>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954691">
      <w:bodyDiv w:val="1"/>
      <w:marLeft w:val="0"/>
      <w:marRight w:val="0"/>
      <w:marTop w:val="0"/>
      <w:marBottom w:val="0"/>
      <w:divBdr>
        <w:top w:val="none" w:sz="0" w:space="0" w:color="auto"/>
        <w:left w:val="none" w:sz="0" w:space="0" w:color="auto"/>
        <w:bottom w:val="none" w:sz="0" w:space="0" w:color="auto"/>
        <w:right w:val="none" w:sz="0" w:space="0" w:color="auto"/>
      </w:divBdr>
    </w:div>
    <w:div w:id="237180173">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389113205">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24394722">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1472177">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955762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58459556">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5017954">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59261926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6125674">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602108">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2788460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63416674">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519776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035032&amp;infra_sistema=100000100&amp;infra_unidade_atual=110000213&amp;infra_hash=381c1cdb2fc33aecae6169e52f48d6fcf37b16e0b860923b07ddff3251c773a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A5452-DDE0-43DF-B39D-515D34E4D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4063</Words>
  <Characters>22623</Characters>
  <Application>Microsoft Office Word</Application>
  <DocSecurity>0</DocSecurity>
  <Lines>188</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2021-05-28T13:08:00Z</dcterms:created>
  <dcterms:modified xsi:type="dcterms:W3CDTF">2021-05-28T13:08:00Z</dcterms:modified>
</cp:coreProperties>
</file>