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7065C1FC"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133/2021</w:t>
      </w:r>
    </w:p>
    <w:p w14:paraId="0ACFCEC5"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737/2020</w:t>
      </w:r>
    </w:p>
    <w:p w14:paraId="613C1689"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0021.408417/2020-21</w:t>
      </w:r>
    </w:p>
    <w:p w14:paraId="59395DBC"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8CDD895"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aquisição de suprimentos, para suprir as necessidades das Unidades da Polícia Militar do Estado de Rondônia - </w:t>
      </w:r>
      <w:r>
        <w:rPr>
          <w:rStyle w:val="Forte"/>
          <w:rFonts w:eastAsiaTheme="majorEastAsia"/>
          <w:color w:val="000000"/>
          <w:sz w:val="27"/>
          <w:szCs w:val="27"/>
        </w:rPr>
        <w:t>PM</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BFA7317"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21E2494"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496E18D5"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suprimentos, para suprir as necessidades das Unidades da Polícia Militar do Estado de Rondônia - </w:t>
      </w:r>
      <w:r>
        <w:rPr>
          <w:rStyle w:val="Forte"/>
          <w:rFonts w:eastAsiaTheme="majorEastAsia"/>
          <w:color w:val="000000"/>
          <w:sz w:val="27"/>
          <w:szCs w:val="27"/>
        </w:rPr>
        <w:t>PM.</w:t>
      </w:r>
    </w:p>
    <w:p w14:paraId="1FBB7FC5"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7215A9E"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559E4620"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33F514AA"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5C268BD5"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DCF4E8F"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2505982C"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2AB89C1"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9D08CAC"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00B1A158"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39874DF0"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6C5C709"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3C7150DA"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623797F4"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09CD66E7"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27F157AE"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70BD64AE"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2CCC6970"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8F5BBD7"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4633EBE4"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50ED59ED"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3C9FB99B"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O prazo de entrega dos objetos será de até 30 (trinta) dias a contar da ordem de recebimento, pela contratada, da Ordem de Entrega expedida pela Polícia Militar do Estado de Rondônia, juntamente com a Nota de Empenho.</w:t>
      </w:r>
    </w:p>
    <w:p w14:paraId="56A04759"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 objeto deverá ser entregue no seguinte endereço: </w:t>
      </w:r>
      <w:r>
        <w:rPr>
          <w:b/>
          <w:bCs/>
          <w:color w:val="000000"/>
          <w:sz w:val="27"/>
          <w:szCs w:val="27"/>
          <w:u w:val="single"/>
        </w:rPr>
        <w:t>no almoxarifado Central do Governo do Estado de Rondônia</w:t>
      </w:r>
      <w:r>
        <w:rPr>
          <w:b/>
          <w:bCs/>
          <w:color w:val="000000"/>
          <w:sz w:val="27"/>
          <w:szCs w:val="27"/>
        </w:rPr>
        <w:t> tel. (69) 3216-2254</w:t>
      </w:r>
      <w:r>
        <w:rPr>
          <w:color w:val="000000"/>
          <w:sz w:val="27"/>
          <w:szCs w:val="27"/>
        </w:rPr>
        <w:t>, Rua Antônio Lacerda, nº 4168, Bairro-Setor Industrial, na cidade de Porto Velho – RO, no horário das 07h30min às 13h30min horas, em dias úteis.</w:t>
      </w:r>
    </w:p>
    <w:p w14:paraId="5DDE0B94"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A6F1C56"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039ED47B"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7F4A1FDD"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59B54F6E"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1BB50967"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0B36711D"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429E1DF5"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6F0113A"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02D1B404"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1F3BE0B"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ECE7581"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117EA79D"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9.1 -</w:t>
      </w:r>
      <w:r>
        <w:rPr>
          <w:color w:val="000000"/>
          <w:sz w:val="27"/>
          <w:szCs w:val="27"/>
        </w:rPr>
        <w:t> Pelo descumprimento de quaisquer cláusulas ou condições do presente Termo de Referência, serão aplicadas as penalidades previstas no artigo 7º da Lei 10.520/2002, e nos artigos 77 à 80, 86 e 87 da Lei n.º 8.666/93, bem como, </w:t>
      </w:r>
      <w:r>
        <w:rPr>
          <w:rStyle w:val="Forte"/>
          <w:rFonts w:eastAsiaTheme="majorEastAsia"/>
          <w:color w:val="000000"/>
          <w:sz w:val="27"/>
          <w:szCs w:val="27"/>
        </w:rPr>
        <w:t>no que couber</w:t>
      </w:r>
      <w:r>
        <w:rPr>
          <w:color w:val="000000"/>
          <w:sz w:val="27"/>
          <w:szCs w:val="27"/>
        </w:rPr>
        <w:t>:</w:t>
      </w:r>
    </w:p>
    <w:p w14:paraId="42F0EC08"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9.1.1 - </w:t>
      </w:r>
      <w:r>
        <w:rPr>
          <w:color w:val="000000"/>
          <w:sz w:val="27"/>
          <w:szCs w:val="27"/>
        </w:rPr>
        <w:t>Multas pelo descumprimento do contrato pela contratada;</w:t>
      </w:r>
    </w:p>
    <w:p w14:paraId="2F9BB903"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9.1.2 - </w:t>
      </w:r>
      <w:r>
        <w:rPr>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w:t>
      </w:r>
      <w:r>
        <w:rPr>
          <w:rStyle w:val="Forte"/>
          <w:rFonts w:eastAsiaTheme="majorEastAsia"/>
          <w:color w:val="000000"/>
          <w:sz w:val="27"/>
          <w:szCs w:val="27"/>
          <w:u w:val="single"/>
        </w:rPr>
        <w:t>sobre a parcela inadimplida</w:t>
      </w:r>
      <w:r>
        <w:rPr>
          <w:color w:val="000000"/>
          <w:sz w:val="27"/>
          <w:szCs w:val="27"/>
        </w:rPr>
        <w:t>.</w:t>
      </w:r>
    </w:p>
    <w:p w14:paraId="04157439"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9.1.3 - </w:t>
      </w:r>
      <w:r>
        <w:rPr>
          <w:color w:val="000000"/>
          <w:sz w:val="27"/>
          <w:szCs w:val="27"/>
        </w:rPr>
        <w:t>Se a adjudicatária recusar-se a retirar o instrumento contratual injustiﬁcadamente ou se não apresentar situação regular na ocasião dos recebimentos, garantida a prévia e ampla defesa, aplicar à Contratada multa de até 10% (dez por cento) sobre o valor adjudicado.</w:t>
      </w:r>
    </w:p>
    <w:p w14:paraId="461850CD"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9.1.4 - </w:t>
      </w:r>
      <w:r>
        <w:rPr>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ﬁscal, garantida a prévia e ampla defesa, ﬁcará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2DE094C0"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9.1.5 - </w:t>
      </w:r>
      <w:r>
        <w:rPr>
          <w:color w:val="000000"/>
          <w:sz w:val="27"/>
          <w:szCs w:val="27"/>
        </w:rPr>
        <w:t>A multa, eventualmente imposta à Contratada, será automaticamente descontada da fatura a que ﬁzer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1BB76025"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9.1.6 - </w:t>
      </w:r>
      <w:r>
        <w:rPr>
          <w:color w:val="000000"/>
          <w:sz w:val="27"/>
          <w:szCs w:val="27"/>
        </w:rPr>
        <w:t>As multas previstas nesta seção não eximem a adjudicatária ou contratada da reparação dos eventuais danos, perdas ou prejuízos que seu ato punível venha causar à Administração.</w:t>
      </w:r>
    </w:p>
    <w:p w14:paraId="64F02F79"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9.1.7 - </w:t>
      </w:r>
      <w:r>
        <w:rPr>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D5A3276"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9.1.8 - </w:t>
      </w:r>
      <w:r>
        <w:rPr>
          <w:color w:val="000000"/>
          <w:sz w:val="27"/>
          <w:szCs w:val="27"/>
        </w:rPr>
        <w:t>A sanção denominada “Advertência” só terá lugar se emitida por escrito e quando se tratar de faltas leves, assim entendidas como aquelas que não acarretarem prejuízos signiﬁcativos ao objeto da contratação, cabível somente até a segunda aplicação (reincidência) para a mesma infração, caso não se veriﬁque a adequação da conduta por parte da Contratada, após o que deverão ser aplicadas sanções de grau mais signiﬁcativo.</w:t>
      </w:r>
    </w:p>
    <w:p w14:paraId="384EBC39"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9.2 -</w:t>
      </w:r>
      <w:r>
        <w:rPr>
          <w:color w:val="000000"/>
          <w:sz w:val="27"/>
          <w:szCs w:val="27"/>
        </w:rPr>
        <w:t> São exemplos de infração administrativa penalizáveis, nos termos da Lei nº 8.666, de 1993:</w:t>
      </w:r>
    </w:p>
    <w:p w14:paraId="3F97AB27"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9.2.1 -</w:t>
      </w:r>
      <w:r>
        <w:rPr>
          <w:color w:val="000000"/>
          <w:sz w:val="27"/>
          <w:szCs w:val="27"/>
        </w:rPr>
        <w:t>Inexecução total ou parcial do contrato;</w:t>
      </w:r>
    </w:p>
    <w:p w14:paraId="388DC5D8"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9.2.2 -</w:t>
      </w:r>
      <w:r>
        <w:rPr>
          <w:color w:val="000000"/>
          <w:sz w:val="27"/>
          <w:szCs w:val="27"/>
        </w:rPr>
        <w:t>Apresentação de documentação falsa;</w:t>
      </w:r>
    </w:p>
    <w:p w14:paraId="31EBBEAB"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9.2.3 -</w:t>
      </w:r>
      <w:r>
        <w:rPr>
          <w:color w:val="000000"/>
          <w:sz w:val="27"/>
          <w:szCs w:val="27"/>
        </w:rPr>
        <w:t>Comportamento inidôneo;</w:t>
      </w:r>
    </w:p>
    <w:p w14:paraId="3BFE7FBC"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9.2.4 -</w:t>
      </w:r>
      <w:r>
        <w:rPr>
          <w:color w:val="000000"/>
          <w:sz w:val="27"/>
          <w:szCs w:val="27"/>
        </w:rPr>
        <w:t>Fraude ﬁscal;</w:t>
      </w:r>
    </w:p>
    <w:p w14:paraId="2D77326E"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9.2.5 -</w:t>
      </w:r>
      <w:r>
        <w:rPr>
          <w:color w:val="000000"/>
          <w:sz w:val="27"/>
          <w:szCs w:val="27"/>
        </w:rPr>
        <w:t>Descumprimento de qualquer dos deveres elencados no Edital ou no Contrato.</w:t>
      </w:r>
    </w:p>
    <w:p w14:paraId="50D66559"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9.3 - </w:t>
      </w:r>
      <w:r>
        <w:rPr>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4BFAFACC"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9.4 - </w:t>
      </w:r>
      <w:r>
        <w:rPr>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6743A6C"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9.5 -</w:t>
      </w:r>
      <w:r>
        <w:rPr>
          <w:color w:val="000000"/>
          <w:sz w:val="27"/>
          <w:szCs w:val="27"/>
        </w:rPr>
        <w:t> As sanções aqui previstas poderão ser aplicadas concomitantemente, facultada a defesa prévia do interessado, no respectivo processo, no prazo de 05 (cinco) dias úteis.</w:t>
      </w:r>
    </w:p>
    <w:p w14:paraId="63F24B07"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9.6 - </w:t>
      </w:r>
      <w:r>
        <w:rPr>
          <w:color w:val="000000"/>
          <w:sz w:val="27"/>
          <w:szCs w:val="27"/>
        </w:rPr>
        <w:t>Após 30 (trinta) dias da falta de execução do objeto, será considerada inexecução total do contrato, o que ensejará a rescisão contratual.</w:t>
      </w:r>
    </w:p>
    <w:p w14:paraId="613526E1"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9.7 - </w:t>
      </w:r>
      <w:r>
        <w:rPr>
          <w:color w:val="000000"/>
          <w:sz w:val="27"/>
          <w:szCs w:val="27"/>
        </w:rPr>
        <w:t>As sanções de natureza pecuniária serão diretamente descontadas de créditos que eventualmente detenha a CONTRATADA ou efetuada a sua cobrança na forma prevista em lei.</w:t>
      </w:r>
    </w:p>
    <w:p w14:paraId="4F216FB0"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9.8 - </w:t>
      </w:r>
      <w:r>
        <w:rPr>
          <w:color w:val="000000"/>
          <w:sz w:val="27"/>
          <w:szCs w:val="27"/>
        </w:rPr>
        <w:t>As sanções previstas não poderão ser relevadas, salvo ﬁcar comprovada a ocorrência de situações que se enquadrem no conceito jurídico de força maior ou casos fortuitos, devidos e formalmente justiﬁcados e comprovados, e sempre a critério da autoridade competente, conforme prejuízo auferido.</w:t>
      </w:r>
    </w:p>
    <w:p w14:paraId="50C686A2"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9.9 - </w:t>
      </w:r>
      <w:r>
        <w:rPr>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6B27CA91"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9.10 - </w:t>
      </w:r>
      <w:r>
        <w:rPr>
          <w:color w:val="000000"/>
          <w:sz w:val="27"/>
          <w:szCs w:val="27"/>
        </w:rPr>
        <w:t>A sanção será obrigatoriamente registrada no Sistema de Cadastramento Uniﬁcado de Fornecedores – SICAF, bem como em sistemas Estaduais.</w:t>
      </w:r>
    </w:p>
    <w:p w14:paraId="70931515"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9.11 - </w:t>
      </w:r>
      <w:r>
        <w:rPr>
          <w:color w:val="000000"/>
          <w:sz w:val="27"/>
          <w:szCs w:val="27"/>
        </w:rPr>
        <w:t>Também ﬁcam sujeitas às penalidades de suspensão de licitar e impedimento de contratar com o órgão licitante e de declaração de inidoneidade, previstas no subitem anterior, as empresas ou proﬁssionais que, em razão do contrato decorrente desta licitação:</w:t>
      </w:r>
    </w:p>
    <w:p w14:paraId="559CC2EF"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9.11.1 -</w:t>
      </w:r>
      <w:r>
        <w:rPr>
          <w:color w:val="000000"/>
          <w:sz w:val="27"/>
          <w:szCs w:val="27"/>
        </w:rPr>
        <w:t>Tenham sofrido condenações deﬁnitivas por praticarem, por meio dolosos, fraude ﬁscal no recolhimento de tributos;</w:t>
      </w:r>
    </w:p>
    <w:p w14:paraId="79EF31D9"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9.11.2 -</w:t>
      </w:r>
      <w:r>
        <w:rPr>
          <w:color w:val="000000"/>
          <w:sz w:val="27"/>
          <w:szCs w:val="27"/>
        </w:rPr>
        <w:t>Tenham praticado atos ilícitos visando a frustrar os objetivos da licitação;</w:t>
      </w:r>
    </w:p>
    <w:p w14:paraId="685848AB"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9.11.3 -</w:t>
      </w:r>
      <w:r>
        <w:rPr>
          <w:color w:val="000000"/>
          <w:sz w:val="27"/>
          <w:szCs w:val="27"/>
        </w:rPr>
        <w:t>Demonstrem não possuir idoneidade para contratar com a Administração em virtude de atos ilícitos praticados.</w:t>
      </w:r>
    </w:p>
    <w:p w14:paraId="1DE8A542"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9.12 - </w:t>
      </w:r>
      <w:r>
        <w:rPr>
          <w:color w:val="000000"/>
          <w:sz w:val="27"/>
          <w:szCs w:val="27"/>
        </w:rPr>
        <w:t>Nenhuma sanção será aplicada sem o devido processo administrativo, que prevê defesa prévia do interessado e recurso nos prazos deﬁnidos em Lei, sendo-lhe franqueada vista ao processo</w:t>
      </w:r>
      <w:r>
        <w:rPr>
          <w:rStyle w:val="Forte"/>
          <w:rFonts w:eastAsiaTheme="majorEastAsia"/>
          <w:color w:val="000000"/>
          <w:sz w:val="27"/>
          <w:szCs w:val="27"/>
        </w:rPr>
        <w:t>, </w:t>
      </w:r>
      <w:r>
        <w:rPr>
          <w:color w:val="000000"/>
          <w:sz w:val="27"/>
          <w:szCs w:val="27"/>
        </w:rPr>
        <w:t>fundamentação legal, (Artigo 7º da Lei 10.520/2002; Artigo 11, XVII, XVIII, XIX e XX, c/c art. 40, III da Lei 8.666/93).</w:t>
      </w:r>
    </w:p>
    <w:p w14:paraId="0118A65A"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9B28837"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41205E54"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1CF9246"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632B49D0"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EBBAE38"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1176545"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994FA7C"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335A2889"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4D1E02B"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2291A7A4"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8D90622"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8CD3219"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307CA91"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CF2DC37"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BF70505"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7E8875E4"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41FAD61"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E4B3E53"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07A2D910"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0D6DE54D"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4C026E13"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1445A419"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EB51AB7"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14CEAAD6"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577C8ABD"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FE35AF0"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02480B4"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36A593A"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21EDC5C3"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9C88C74"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5DC103F9"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50C24C62"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48F93F24"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1CF8255E"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76BE4017"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BADB45A"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51ECE697"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8571F7A"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115F3F06"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0E018966"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PM - </w:t>
      </w:r>
      <w:r>
        <w:rPr>
          <w:color w:val="000000"/>
          <w:sz w:val="27"/>
          <w:szCs w:val="27"/>
        </w:rPr>
        <w:t>Polícia Militar do Estado de Rondônia.</w:t>
      </w:r>
    </w:p>
    <w:p w14:paraId="6C00B4B7"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221C631"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14BD2D6E"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8849088"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50A97464"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FE30902"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13DD3BB0"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9479DFD" w14:textId="77777777" w:rsidR="00794257" w:rsidRDefault="00794257" w:rsidP="00794257">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6221335A" w14:textId="4B6EB014" w:rsidR="00EE0535" w:rsidRDefault="00EE0535" w:rsidP="00EE0535">
      <w:pPr>
        <w:pStyle w:val="newtextojustificado"/>
        <w:spacing w:before="120" w:beforeAutospacing="0" w:after="120" w:afterAutospacing="0"/>
        <w:ind w:left="120" w:right="120"/>
        <w:jc w:val="both"/>
        <w:rPr>
          <w:color w:val="000000"/>
          <w:sz w:val="27"/>
          <w:szCs w:val="27"/>
        </w:rPr>
      </w:pPr>
      <w:bookmarkStart w:id="1" w:name="_GoBack"/>
      <w:bookmarkEnd w:id="1"/>
    </w:p>
    <w:p w14:paraId="4B8B74E5" w14:textId="04C6B538" w:rsidR="00ED3DE7" w:rsidRPr="003D4AA4" w:rsidRDefault="00ED3DE7" w:rsidP="008732BB">
      <w:pPr>
        <w:pStyle w:val="newtextojustificado"/>
        <w:spacing w:before="120" w:beforeAutospacing="0" w:after="120" w:afterAutospacing="0"/>
        <w:ind w:right="120"/>
        <w:jc w:val="both"/>
        <w:rPr>
          <w:color w:val="000000"/>
          <w:sz w:val="20"/>
          <w:szCs w:val="20"/>
        </w:rPr>
      </w:pPr>
    </w:p>
    <w:p w14:paraId="27EA8FDB" w14:textId="42B2E3F0" w:rsidR="00D807DA" w:rsidRPr="0049609D" w:rsidRDefault="00D807DA" w:rsidP="00D807DA">
      <w:pPr>
        <w:pStyle w:val="newtextojustificado"/>
        <w:spacing w:before="120" w:beforeAutospacing="0" w:after="120" w:afterAutospacing="0"/>
        <w:ind w:left="120" w:right="120"/>
        <w:jc w:val="both"/>
        <w:rPr>
          <w:color w:val="000000"/>
          <w:sz w:val="20"/>
          <w:szCs w:val="20"/>
        </w:rPr>
      </w:pPr>
    </w:p>
    <w:p w14:paraId="51C2CF1F" w14:textId="4A879BB9" w:rsidR="003B0026" w:rsidRPr="0049609D" w:rsidRDefault="003B0026" w:rsidP="003B0026">
      <w:pPr>
        <w:pStyle w:val="textojustificado"/>
        <w:spacing w:before="0" w:beforeAutospacing="0" w:after="0" w:afterAutospacing="0"/>
        <w:ind w:left="120" w:right="120"/>
        <w:jc w:val="both"/>
        <w:rPr>
          <w:rFonts w:ascii="Arial" w:hAnsi="Arial" w:cs="Arial"/>
          <w:bCs/>
          <w:color w:val="000000"/>
          <w:sz w:val="20"/>
          <w:szCs w:val="20"/>
          <w:lang w:val="pt-PT"/>
        </w:rPr>
      </w:pPr>
    </w:p>
    <w:p w14:paraId="49FC5C23" w14:textId="77777777" w:rsidR="00060B51" w:rsidRPr="008732BB" w:rsidRDefault="00060B51" w:rsidP="009D2314">
      <w:pPr>
        <w:jc w:val="both"/>
        <w:rPr>
          <w:rFonts w:ascii="Arial" w:hAnsi="Arial" w:cs="Arial"/>
          <w:b/>
          <w:bCs/>
          <w:sz w:val="27"/>
          <w:szCs w:val="27"/>
        </w:rPr>
      </w:pPr>
    </w:p>
    <w:p w14:paraId="320BEB0C" w14:textId="77777777" w:rsidR="000B1908" w:rsidRPr="008732BB" w:rsidRDefault="000B1908" w:rsidP="009D2314">
      <w:pPr>
        <w:ind w:right="47"/>
        <w:jc w:val="both"/>
        <w:rPr>
          <w:b/>
          <w:bCs/>
          <w:color w:val="000000"/>
          <w:sz w:val="27"/>
          <w:szCs w:val="27"/>
        </w:rPr>
      </w:pPr>
    </w:p>
    <w:p w14:paraId="0E44F2C5" w14:textId="77777777" w:rsidR="009D2314" w:rsidRPr="008732BB" w:rsidRDefault="009D2314" w:rsidP="009D2314">
      <w:pPr>
        <w:ind w:right="47"/>
        <w:jc w:val="both"/>
        <w:rPr>
          <w:b/>
          <w:bCs/>
          <w:color w:val="000000"/>
          <w:sz w:val="27"/>
          <w:szCs w:val="27"/>
        </w:rPr>
      </w:pPr>
      <w:r w:rsidRPr="008732BB">
        <w:rPr>
          <w:b/>
          <w:bCs/>
          <w:color w:val="000000"/>
          <w:sz w:val="27"/>
          <w:szCs w:val="27"/>
        </w:rPr>
        <w:t>ÓRGÃO GERENCIADOR:</w:t>
      </w:r>
    </w:p>
    <w:p w14:paraId="0E827DFF" w14:textId="61D5A023" w:rsidR="001E248D" w:rsidRPr="008732BB" w:rsidRDefault="001E248D" w:rsidP="004B46F8">
      <w:pPr>
        <w:pStyle w:val="textojustificado"/>
        <w:spacing w:before="120" w:beforeAutospacing="0" w:after="120" w:afterAutospacing="0"/>
        <w:ind w:right="120"/>
        <w:jc w:val="both"/>
        <w:rPr>
          <w:b/>
          <w:bCs/>
          <w:color w:val="000000"/>
          <w:sz w:val="27"/>
          <w:szCs w:val="27"/>
        </w:rPr>
      </w:pPr>
    </w:p>
    <w:p w14:paraId="42C100A7" w14:textId="77777777" w:rsidR="007F45BF" w:rsidRPr="008732BB" w:rsidRDefault="007F45BF" w:rsidP="007F45BF">
      <w:pPr>
        <w:pStyle w:val="textojustificado"/>
        <w:spacing w:before="120" w:beforeAutospacing="0" w:after="120" w:afterAutospacing="0"/>
        <w:ind w:right="120"/>
        <w:jc w:val="both"/>
        <w:rPr>
          <w:bCs/>
          <w:sz w:val="27"/>
          <w:szCs w:val="27"/>
        </w:rPr>
      </w:pPr>
      <w:r w:rsidRPr="008732BB">
        <w:rPr>
          <w:b/>
          <w:sz w:val="27"/>
          <w:szCs w:val="27"/>
        </w:rPr>
        <w:t>GENEAN PRESTES DOS SANTOS</w:t>
      </w:r>
    </w:p>
    <w:p w14:paraId="6B52F4CA" w14:textId="608F628F" w:rsidR="007F45BF" w:rsidRPr="008732BB" w:rsidRDefault="007F45BF" w:rsidP="00FF2590">
      <w:pPr>
        <w:pStyle w:val="textojustificado"/>
        <w:spacing w:before="0" w:beforeAutospacing="0" w:after="0" w:afterAutospacing="0"/>
        <w:ind w:right="120"/>
        <w:jc w:val="both"/>
        <w:rPr>
          <w:bCs/>
          <w:color w:val="000000"/>
          <w:sz w:val="27"/>
          <w:szCs w:val="27"/>
        </w:rPr>
      </w:pPr>
      <w:r w:rsidRPr="008732BB">
        <w:rPr>
          <w:bCs/>
          <w:color w:val="000000"/>
          <w:sz w:val="27"/>
          <w:szCs w:val="27"/>
        </w:rPr>
        <w:t>Coordenadora do Sistema de Registro de Preços/SUPEL</w:t>
      </w:r>
    </w:p>
    <w:p w14:paraId="3990B506" w14:textId="77777777" w:rsidR="003B0026" w:rsidRPr="008732BB" w:rsidRDefault="003B0026" w:rsidP="00FF2590">
      <w:pPr>
        <w:pStyle w:val="textojustificado"/>
        <w:spacing w:before="0" w:beforeAutospacing="0" w:after="0" w:afterAutospacing="0"/>
        <w:ind w:right="120"/>
        <w:jc w:val="both"/>
        <w:rPr>
          <w:bCs/>
          <w:color w:val="000000"/>
          <w:sz w:val="27"/>
          <w:szCs w:val="27"/>
        </w:rPr>
      </w:pPr>
    </w:p>
    <w:p w14:paraId="77C4F065" w14:textId="77777777" w:rsidR="00FF2590" w:rsidRPr="008732BB" w:rsidRDefault="00FF2590" w:rsidP="00FF2590">
      <w:pPr>
        <w:pStyle w:val="textojustificado"/>
        <w:spacing w:before="0" w:beforeAutospacing="0" w:after="0" w:afterAutospacing="0"/>
        <w:ind w:right="120"/>
        <w:jc w:val="both"/>
        <w:rPr>
          <w:bCs/>
          <w:color w:val="000000"/>
          <w:sz w:val="27"/>
          <w:szCs w:val="27"/>
        </w:rPr>
      </w:pPr>
    </w:p>
    <w:p w14:paraId="6885EBE8" w14:textId="0B83B11A" w:rsidR="007F45BF" w:rsidRPr="008732BB" w:rsidRDefault="007F45BF" w:rsidP="007F45BF">
      <w:pPr>
        <w:pStyle w:val="textojustificado"/>
        <w:spacing w:before="120" w:beforeAutospacing="0" w:after="120" w:afterAutospacing="0"/>
        <w:ind w:right="120"/>
        <w:jc w:val="both"/>
        <w:rPr>
          <w:b/>
          <w:sz w:val="27"/>
          <w:szCs w:val="27"/>
        </w:rPr>
      </w:pPr>
      <w:r w:rsidRPr="008732BB">
        <w:rPr>
          <w:b/>
          <w:bCs/>
          <w:sz w:val="27"/>
          <w:szCs w:val="27"/>
        </w:rPr>
        <w:t>AMANDA TALITA DE SOUSA GA</w:t>
      </w:r>
      <w:r w:rsidR="00182991" w:rsidRPr="008732BB">
        <w:rPr>
          <w:b/>
          <w:bCs/>
          <w:sz w:val="27"/>
          <w:szCs w:val="27"/>
        </w:rPr>
        <w:t>LINA                           </w:t>
      </w:r>
      <w:r w:rsidRPr="008732BB">
        <w:rPr>
          <w:b/>
          <w:bCs/>
          <w:sz w:val="27"/>
          <w:szCs w:val="27"/>
        </w:rPr>
        <w:t> ISRAEL EVANGELISTA DA SILVA</w:t>
      </w:r>
    </w:p>
    <w:p w14:paraId="74B80D4D" w14:textId="77777777" w:rsidR="007F45BF" w:rsidRPr="008732BB" w:rsidRDefault="007F45BF" w:rsidP="007F45BF">
      <w:pPr>
        <w:pStyle w:val="textojustificado"/>
        <w:spacing w:before="0" w:beforeAutospacing="0" w:after="0" w:afterAutospacing="0"/>
        <w:ind w:right="120"/>
        <w:jc w:val="both"/>
        <w:rPr>
          <w:bCs/>
          <w:color w:val="000000"/>
          <w:sz w:val="27"/>
          <w:szCs w:val="27"/>
        </w:rPr>
      </w:pPr>
      <w:r w:rsidRPr="008732BB">
        <w:rPr>
          <w:bCs/>
          <w:color w:val="000000"/>
          <w:sz w:val="27"/>
          <w:szCs w:val="27"/>
        </w:rPr>
        <w:t>Diretora Executiva/SUPEL                                                 Superintendente Estadual de Compras e Licitações/SUPEL</w:t>
      </w:r>
    </w:p>
    <w:p w14:paraId="36244E94" w14:textId="0BBD079E" w:rsidR="001E248D" w:rsidRPr="008732BB" w:rsidRDefault="001E248D" w:rsidP="00FF2590">
      <w:pPr>
        <w:pStyle w:val="textojustificado"/>
        <w:spacing w:before="120" w:beforeAutospacing="0" w:after="120" w:afterAutospacing="0"/>
        <w:ind w:left="120" w:right="120"/>
        <w:jc w:val="both"/>
        <w:rPr>
          <w:b/>
          <w:bCs/>
          <w:color w:val="000000"/>
          <w:sz w:val="27"/>
          <w:szCs w:val="27"/>
        </w:rPr>
      </w:pPr>
      <w:r w:rsidRPr="008732BB">
        <w:rPr>
          <w:b/>
          <w:bCs/>
          <w:color w:val="000000"/>
          <w:sz w:val="27"/>
          <w:szCs w:val="27"/>
        </w:rPr>
        <w:t> </w:t>
      </w:r>
    </w:p>
    <w:p w14:paraId="29E75391" w14:textId="77777777" w:rsidR="001E248D" w:rsidRPr="008732BB" w:rsidRDefault="001E248D" w:rsidP="001E248D">
      <w:pPr>
        <w:pStyle w:val="textojustificado"/>
        <w:spacing w:before="120" w:beforeAutospacing="0" w:after="120" w:afterAutospacing="0"/>
        <w:ind w:right="120"/>
        <w:jc w:val="both"/>
        <w:rPr>
          <w:b/>
          <w:bCs/>
          <w:color w:val="000000"/>
          <w:sz w:val="27"/>
          <w:szCs w:val="27"/>
        </w:rPr>
      </w:pPr>
      <w:proofErr w:type="gramStart"/>
      <w:r w:rsidRPr="008732BB">
        <w:rPr>
          <w:b/>
          <w:sz w:val="27"/>
          <w:szCs w:val="27"/>
        </w:rPr>
        <w:t>EMPRESA(</w:t>
      </w:r>
      <w:proofErr w:type="gramEnd"/>
      <w:r w:rsidRPr="008732BB">
        <w:rPr>
          <w:b/>
          <w:sz w:val="27"/>
          <w:szCs w:val="27"/>
        </w:rPr>
        <w:t>S) DETENTORA(S):</w:t>
      </w:r>
    </w:p>
    <w:p w14:paraId="2A7DA650" w14:textId="77777777" w:rsidR="001E248D" w:rsidRPr="008732BB" w:rsidRDefault="001E248D" w:rsidP="001E248D">
      <w:pPr>
        <w:pStyle w:val="textojustificado"/>
        <w:spacing w:before="120" w:beforeAutospacing="0" w:after="120" w:afterAutospacing="0"/>
        <w:ind w:right="120"/>
        <w:jc w:val="both"/>
        <w:rPr>
          <w:b/>
          <w:bCs/>
          <w:color w:val="000000"/>
          <w:sz w:val="27"/>
          <w:szCs w:val="27"/>
        </w:rPr>
      </w:pPr>
      <w:proofErr w:type="gramStart"/>
      <w:r w:rsidRPr="008732BB">
        <w:rPr>
          <w:b/>
          <w:sz w:val="27"/>
          <w:szCs w:val="27"/>
        </w:rPr>
        <w:t>Qualificada(</w:t>
      </w:r>
      <w:proofErr w:type="gramEnd"/>
      <w:r w:rsidRPr="008732BB">
        <w:rPr>
          <w:b/>
          <w:sz w:val="27"/>
          <w:szCs w:val="27"/>
        </w:rPr>
        <w:t>s) no Anexo Único desta Ata</w:t>
      </w:r>
    </w:p>
    <w:p w14:paraId="364C3F3C" w14:textId="77777777" w:rsidR="00F14932" w:rsidRPr="008732BB" w:rsidRDefault="00F14932" w:rsidP="00526790">
      <w:pPr>
        <w:ind w:right="47"/>
        <w:jc w:val="both"/>
        <w:rPr>
          <w:b/>
          <w:bCs/>
          <w:color w:val="000000"/>
          <w:sz w:val="27"/>
          <w:szCs w:val="27"/>
        </w:rPr>
      </w:pPr>
    </w:p>
    <w:p w14:paraId="618B9BE7" w14:textId="77777777" w:rsidR="00060B51" w:rsidRPr="008732BB" w:rsidRDefault="00060B51" w:rsidP="00526790">
      <w:pPr>
        <w:ind w:right="47"/>
        <w:jc w:val="both"/>
        <w:rPr>
          <w:b/>
          <w:bCs/>
          <w:color w:val="000000"/>
          <w:sz w:val="27"/>
          <w:szCs w:val="27"/>
        </w:rPr>
      </w:pPr>
    </w:p>
    <w:p w14:paraId="1AD52E1E" w14:textId="0C0DB707" w:rsidR="00C50BF7" w:rsidRPr="008732BB" w:rsidRDefault="003B0026" w:rsidP="00526790">
      <w:pPr>
        <w:ind w:right="47"/>
        <w:jc w:val="both"/>
        <w:rPr>
          <w:b/>
          <w:bCs/>
          <w:color w:val="000000"/>
          <w:sz w:val="27"/>
          <w:szCs w:val="27"/>
        </w:rPr>
      </w:pPr>
      <w:r w:rsidRPr="008732BB">
        <w:rPr>
          <w:b/>
          <w:bCs/>
          <w:color w:val="000000"/>
          <w:sz w:val="27"/>
          <w:szCs w:val="27"/>
        </w:rPr>
        <w:t>CMV</w:t>
      </w:r>
      <w:r w:rsidR="00BB7E64" w:rsidRPr="008732BB">
        <w:rPr>
          <w:b/>
          <w:bCs/>
          <w:color w:val="000000"/>
          <w:sz w:val="27"/>
          <w:szCs w:val="27"/>
        </w:rPr>
        <w:t>/</w:t>
      </w:r>
      <w:r w:rsidR="00BA5836" w:rsidRPr="008732BB">
        <w:rPr>
          <w:b/>
          <w:bCs/>
          <w:color w:val="000000"/>
          <w:sz w:val="27"/>
          <w:szCs w:val="27"/>
        </w:rPr>
        <w:t>SRP</w:t>
      </w:r>
    </w:p>
    <w:sectPr w:rsidR="00C50BF7" w:rsidRPr="008732B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4594"/>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4AA4"/>
    <w:rsid w:val="003D500D"/>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9609D"/>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290B"/>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94257"/>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2BB"/>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A7BE5"/>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377B0"/>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E0535"/>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954691">
      <w:bodyDiv w:val="1"/>
      <w:marLeft w:val="0"/>
      <w:marRight w:val="0"/>
      <w:marTop w:val="0"/>
      <w:marBottom w:val="0"/>
      <w:divBdr>
        <w:top w:val="none" w:sz="0" w:space="0" w:color="auto"/>
        <w:left w:val="none" w:sz="0" w:space="0" w:color="auto"/>
        <w:bottom w:val="none" w:sz="0" w:space="0" w:color="auto"/>
        <w:right w:val="none" w:sz="0" w:space="0" w:color="auto"/>
      </w:divBdr>
    </w:div>
    <w:div w:id="23718017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389113205">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24394722">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1472177">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955762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45017954">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6125674">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602108">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51977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65C33C-FA0B-4E5E-9C6B-743ED61BA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3144</Words>
  <Characters>17417</Characters>
  <Application>Microsoft Office Word</Application>
  <DocSecurity>0</DocSecurity>
  <Lines>145</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2021-05-28T12:59:00Z</dcterms:created>
  <dcterms:modified xsi:type="dcterms:W3CDTF">2021-05-28T12:59:00Z</dcterms:modified>
</cp:coreProperties>
</file>