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6C2446AE"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ATA DE REGISTRO DE PREÇOS Nº 106/2021</w:t>
      </w:r>
    </w:p>
    <w:p w14:paraId="46B88070"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PREGÃO ELETRÔNICO Nº 28/2021</w:t>
      </w:r>
    </w:p>
    <w:p w14:paraId="2F243303"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PROCESSO Nº 0052.323377/2020-81</w:t>
      </w:r>
    </w:p>
    <w:p w14:paraId="1AC5CA44"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 </w:t>
      </w:r>
    </w:p>
    <w:p w14:paraId="30ED53D1"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1BB54CD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insumos para determinação do hematócrito de doadores de sangue, compatíveis com a </w:t>
      </w:r>
      <w:proofErr w:type="spellStart"/>
      <w:r w:rsidRPr="007F6A18">
        <w:rPr>
          <w:rFonts w:ascii="Arial" w:hAnsi="Arial" w:cs="Arial"/>
          <w:bCs/>
          <w:color w:val="000000"/>
          <w:sz w:val="16"/>
          <w:szCs w:val="16"/>
        </w:rPr>
        <w:t>Microcentrífuga</w:t>
      </w:r>
      <w:proofErr w:type="spellEnd"/>
      <w:r w:rsidRPr="007F6A18">
        <w:rPr>
          <w:rFonts w:ascii="Arial" w:hAnsi="Arial" w:cs="Arial"/>
          <w:bCs/>
          <w:color w:val="000000"/>
          <w:sz w:val="16"/>
          <w:szCs w:val="16"/>
        </w:rPr>
        <w:t xml:space="preserve"> HEMATA STAT II (equipamento pertencente ao parque tecnológico desta FHEMERON), para atender as necessidades das unidades de coleta da HEMORREDE do Estado de Rondônia, a pedido da Fundação de Hematologia e Hemoterapia do Estado de Rondônia – FHEMERON,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551E518"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 </w:t>
      </w:r>
    </w:p>
    <w:p w14:paraId="01CE8F68"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1. DO OBJETO</w:t>
      </w:r>
    </w:p>
    <w:p w14:paraId="6C603968"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xml:space="preserve">Registro de Preços visando à futura, eventual aquisição de insumos para determinação do hematócrito de doadores de sangue, compatíveis com a </w:t>
      </w:r>
      <w:proofErr w:type="spellStart"/>
      <w:r w:rsidRPr="007F6A18">
        <w:rPr>
          <w:rFonts w:ascii="Arial" w:hAnsi="Arial" w:cs="Arial"/>
          <w:bCs/>
          <w:color w:val="000000"/>
          <w:sz w:val="16"/>
          <w:szCs w:val="16"/>
        </w:rPr>
        <w:t>Microcentrífuga</w:t>
      </w:r>
      <w:proofErr w:type="spellEnd"/>
      <w:r w:rsidRPr="007F6A18">
        <w:rPr>
          <w:rFonts w:ascii="Arial" w:hAnsi="Arial" w:cs="Arial"/>
          <w:bCs/>
          <w:color w:val="000000"/>
          <w:sz w:val="16"/>
          <w:szCs w:val="16"/>
        </w:rPr>
        <w:t xml:space="preserve"> HEMATA STAT II (equipamento pertencente ao parque tecnológico desta FHEMERON), para atender as necessidades das unidades de coleta da HEMORREDE do Estado de Rondônia, a pedido da Fundação de Hematologia e Hemoterapia do Estado de Rondônia – FHEMERON.</w:t>
      </w:r>
    </w:p>
    <w:p w14:paraId="42874691"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 </w:t>
      </w:r>
    </w:p>
    <w:p w14:paraId="5AAAF5ED"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2. DA VIGÊNCIA</w:t>
      </w:r>
    </w:p>
    <w:p w14:paraId="6BA9695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2.1. O presente Registro de Preços terá validade de 12 (doze) meses, contados a partir de sua publicação no Diário Oficial do Estado.</w:t>
      </w:r>
    </w:p>
    <w:p w14:paraId="5D3B7CE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14:paraId="4E32C63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0CEA0259"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3. DA GERÊNCIA DA PRESENTE ATA DE REGISTRO DE PREÇOS</w:t>
      </w:r>
    </w:p>
    <w:p w14:paraId="0868BAD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4D3BD64"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3A157A86"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4. DA ESPECIFICAÇÃO, QUANTIDADE E PREÇO</w:t>
      </w:r>
    </w:p>
    <w:p w14:paraId="650A2E4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xml:space="preserve">4.1. O preço, a quantidade, o fornecedor e a especificação do </w:t>
      </w:r>
      <w:proofErr w:type="spellStart"/>
      <w:r w:rsidRPr="007F6A18">
        <w:rPr>
          <w:rFonts w:ascii="Arial" w:hAnsi="Arial" w:cs="Arial"/>
          <w:bCs/>
          <w:color w:val="000000"/>
          <w:sz w:val="16"/>
          <w:szCs w:val="16"/>
        </w:rPr>
        <w:t>ite</w:t>
      </w:r>
      <w:proofErr w:type="spellEnd"/>
      <w:r w:rsidRPr="007F6A18">
        <w:rPr>
          <w:rFonts w:ascii="Arial" w:hAnsi="Arial" w:cs="Arial"/>
          <w:bCs/>
          <w:color w:val="000000"/>
          <w:sz w:val="16"/>
          <w:szCs w:val="16"/>
        </w:rPr>
        <w:t xml:space="preserve"> m registrado nesta Ata, encontram-se indicados no Anexo I deste instrumento.</w:t>
      </w:r>
    </w:p>
    <w:p w14:paraId="529F7F6A"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Cs/>
          <w:color w:val="000000"/>
          <w:sz w:val="16"/>
          <w:szCs w:val="16"/>
        </w:rPr>
        <w:t> </w:t>
      </w:r>
    </w:p>
    <w:p w14:paraId="4BE7E2DE"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5. PRAZOS E CONDIÇÕES DE FORNECIMENTO</w:t>
      </w:r>
    </w:p>
    <w:p w14:paraId="19F744E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A DETENTORA do registro de preços se obriga, nos termos do Edital e deste instrumento, a:</w:t>
      </w:r>
    </w:p>
    <w:p w14:paraId="3E1C0F9D"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5.1. Retirar a Nota de Empenho junto ao órgão solicitante no prazo de até 05 (cinco) dias, contados da convocação;</w:t>
      </w:r>
    </w:p>
    <w:p w14:paraId="558FD9D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5.2. Iniciar o fornecimento do objeto dessa Ata, conforme prazo estabelecido no Termo de Referência e edital de licitações.</w:t>
      </w:r>
    </w:p>
    <w:p w14:paraId="0AA5FFB4"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14:paraId="1D4F5F01"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14:paraId="08FC6F3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5742B617"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6. DO PRAZO, LOCAL DE ENTREGA</w:t>
      </w:r>
    </w:p>
    <w:p w14:paraId="355083E5"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6.1. No recebimento e aceitação de qualquer item, objeto desta Ata de Registro de Preços, serão observadas as especificações contidas no instrumento convocatório.</w:t>
      </w:r>
    </w:p>
    <w:p w14:paraId="6CE0C57A"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14:paraId="0604B8A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6.3. DO PRAZO DE ENTREGA: A entrega será em até 20 (vinte) dias, a partir do recebimento da Nota de Empenho ou do Termo Contratual pela Contratada, juntamente com a Ordem de Serviço de Consumo prevista.</w:t>
      </w:r>
    </w:p>
    <w:p w14:paraId="7E2BD41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xml:space="preserve">6.4. DO LOCAL DE ENTREGA: Os insumos deverão ser entregues no Núcleo de Almoxarifado do Hemocentro Coordenador, situado à Rua </w:t>
      </w:r>
      <w:proofErr w:type="spellStart"/>
      <w:r w:rsidRPr="007F6A18">
        <w:rPr>
          <w:rFonts w:ascii="Arial" w:hAnsi="Arial" w:cs="Arial"/>
          <w:bCs/>
          <w:color w:val="000000"/>
          <w:sz w:val="16"/>
          <w:szCs w:val="16"/>
        </w:rPr>
        <w:t>Rua</w:t>
      </w:r>
      <w:proofErr w:type="spellEnd"/>
      <w:r w:rsidRPr="007F6A18">
        <w:rPr>
          <w:rFonts w:ascii="Arial" w:hAnsi="Arial" w:cs="Arial"/>
          <w:bCs/>
          <w:color w:val="000000"/>
          <w:sz w:val="16"/>
          <w:szCs w:val="16"/>
        </w:rPr>
        <w:t xml:space="preserve"> Aparício Morais, nº 4348 Galpão C - Bairro Setor Industrial, CEP: 76.821-240, Porto Velho - RO. Deverão ser entregues de Segunda à Sexta-Feira das 08 às 15h. Telefone (69) 3222-4845.</w:t>
      </w:r>
    </w:p>
    <w:p w14:paraId="7275AF15"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27CAA25B"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7.  DAS CONDIÇÕES DE PAGAMENTO</w:t>
      </w:r>
    </w:p>
    <w:p w14:paraId="23C33BED"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7.1. A empresa detentora da Ata apresentará a Gerência Financeira do Órgão requisitante a nota fiscal referente ao fornecimento efetuado.</w:t>
      </w:r>
    </w:p>
    <w:p w14:paraId="13DEB5C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7.2. O respectivo Órgão terá o prazo de 10 (dez) dias úteis, a contar da apresentação da nota fiscal para aceitá-la ou rejeitá-la.</w:t>
      </w:r>
    </w:p>
    <w:p w14:paraId="61F0ACD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7F6A18">
        <w:rPr>
          <w:rFonts w:ascii="Arial" w:hAnsi="Arial" w:cs="Arial"/>
          <w:bCs/>
          <w:color w:val="000000"/>
          <w:sz w:val="16"/>
          <w:szCs w:val="16"/>
        </w:rPr>
        <w:t>a</w:t>
      </w:r>
      <w:proofErr w:type="gramEnd"/>
      <w:r w:rsidRPr="007F6A18">
        <w:rPr>
          <w:rFonts w:ascii="Arial" w:hAnsi="Arial" w:cs="Arial"/>
          <w:bCs/>
          <w:color w:val="000000"/>
          <w:sz w:val="16"/>
          <w:szCs w:val="16"/>
        </w:rPr>
        <w:t xml:space="preserve"> partir da data de sua reapresentação.</w:t>
      </w:r>
    </w:p>
    <w:p w14:paraId="6922D518"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7.4. A devolução da nota fiscal não aprovada, em hipótese alguma, servirá de pretexto para que a empresa detentora da Ata suspenda quaisquer fornecimentos.</w:t>
      </w:r>
    </w:p>
    <w:p w14:paraId="7855EDA1"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14:paraId="138A399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38D12D41"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8.  DA DOTAÇÃO ORÇAMENTÁRIA</w:t>
      </w:r>
    </w:p>
    <w:p w14:paraId="4BC1DBB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71627A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57FB683D"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9. DAS SANÇÕES </w:t>
      </w:r>
    </w:p>
    <w:p w14:paraId="62DAC5B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  Pela Inexecução total ou parcial do objeto, a FHEMERON poderá, garantida a prévia defesa, aplicar à empresa contratada as seguintes sanções:</w:t>
      </w:r>
    </w:p>
    <w:p w14:paraId="7DDF403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9.1.1. Advertência, que será aplicada por meio de notificação, estabelecendo o prazo de 05 (cinco) dias úteis para que a empresa contratada apresente justificativas para o atraso, que só serão aceitas mediante crivo da Administração.</w:t>
      </w:r>
    </w:p>
    <w:p w14:paraId="78AE5B4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lastRenderedPageBreak/>
        <w:t>9.1.2.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14:paraId="53F1D8DD"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9.1.3. A multa moratória será aplicada a partir do 1º dia útil da inadimplência, contado da data definida para o regular cumprimento da obrigação.</w:t>
      </w:r>
    </w:p>
    <w:p w14:paraId="0019772C"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9.1.4.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6BFD812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9.1.5.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775017B8"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9.1.6. Multa de 10% (dez por cento) sobre o valor do produto não entregue, no caso de inexecução parcial, sem embargo de indenização dos prejuízos porventura causados a FHEMERON pela execução parcial do contrato.</w:t>
      </w:r>
    </w:p>
    <w:p w14:paraId="56AAECF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9.1.7. Multa de 10% (dez por cento) sobre o valor total do contrato ou instrumento equivalente, no caso de sua inexecução total, sem embargo de indenização dos prejuízos porventura causados a FHEMERON.</w:t>
      </w:r>
    </w:p>
    <w:p w14:paraId="7652D5EA"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9.1.8. Multa de 10% (dez por cento) sobre o valor do produto não entregue, pela recusa injustificada na substituição de material defeituoso no prazo estabelecido neste Termo de Referência.</w:t>
      </w:r>
    </w:p>
    <w:p w14:paraId="62E565B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9.1.9.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157B48E4"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9.1.10. As multas previstas, poderão ser aplicadas isoladas ou em conjunto.</w:t>
      </w:r>
    </w:p>
    <w:p w14:paraId="35A80388"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9.1.11.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w:t>
      </w:r>
    </w:p>
    <w:p w14:paraId="099C54CC"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9.1.12. Após esse prazo, não sendo efetuado o pagamento, os dados da Contratada serão encaminhados ao órgão competente para inscrição em dívida ativa.</w:t>
      </w:r>
    </w:p>
    <w:p w14:paraId="4D6DC82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9.1.13.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07A4B3A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9.1.14.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548BB5B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9.2 Para efeito de aplicação de multas, às infrações são atribuídos graus, com percentuais de multa conforme a tabela a seguir, que elenca apenas as principais situações previstas, não eximindo de outras equivalentes que surgirem, conforme o caso:</w:t>
      </w:r>
    </w:p>
    <w:p w14:paraId="0EC767A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12E14027"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6"/>
        <w:gridCol w:w="733"/>
        <w:gridCol w:w="1045"/>
      </w:tblGrid>
      <w:tr w:rsidR="007F6A18" w:rsidRPr="007F6A18" w14:paraId="430CA5E3"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66C5A6"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0FB954F6"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DESCRIÇÃO DA INFRAÇÃO/ FORNECIMENTOS BENS/SERVIÇOS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3FD2B2C"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326E0D9A"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MULTA*</w:t>
            </w:r>
          </w:p>
        </w:tc>
      </w:tr>
      <w:tr w:rsidR="007F6A18" w:rsidRPr="007F6A18" w14:paraId="3B60D636"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44C03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038FEF0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xml:space="preserve">Permitir situação que crie a possibilidade ou cause </w:t>
            </w:r>
            <w:proofErr w:type="spellStart"/>
            <w:r w:rsidRPr="007F6A18">
              <w:rPr>
                <w:rFonts w:ascii="Arial" w:hAnsi="Arial" w:cs="Arial"/>
                <w:bCs/>
                <w:color w:val="000000"/>
                <w:sz w:val="16"/>
                <w:szCs w:val="16"/>
              </w:rPr>
              <w:t>dano</w:t>
            </w:r>
            <w:proofErr w:type="spellEnd"/>
            <w:r w:rsidRPr="007F6A18">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3D0C318"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3AD93F5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4,0% por dia</w:t>
            </w:r>
          </w:p>
        </w:tc>
      </w:tr>
      <w:tr w:rsidR="007F6A18" w:rsidRPr="007F6A18" w14:paraId="3F14525B"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06A006"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235C7D1"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Suspender ou interromper, salvo por motivo de força maior ou caso fortuito, fornecimentos bens/serviços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43F7B4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4268871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3,2% por dia</w:t>
            </w:r>
          </w:p>
        </w:tc>
      </w:tr>
      <w:tr w:rsidR="007F6A18" w:rsidRPr="007F6A18" w14:paraId="674474AE"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A83957"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15AC6EA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31D2741"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60779964"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1,6% por dia</w:t>
            </w:r>
          </w:p>
        </w:tc>
      </w:tr>
      <w:tr w:rsidR="007F6A18" w:rsidRPr="007F6A18" w14:paraId="635ED0CD"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3D31D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6EAEF8B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989B531"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42F8F1B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0,4% por dia</w:t>
            </w:r>
          </w:p>
        </w:tc>
      </w:tr>
      <w:tr w:rsidR="007F6A18" w:rsidRPr="007F6A18" w14:paraId="7582F868"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7D2CF4"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2832565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E284A2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AB1E3F4"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0,4% por dia</w:t>
            </w:r>
          </w:p>
        </w:tc>
      </w:tr>
      <w:tr w:rsidR="007F6A18" w:rsidRPr="007F6A18" w14:paraId="2BFEF7FE" w14:textId="77777777" w:rsidTr="007F6A1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C8095C8"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Para os itens a seguir, deixar de:</w:t>
            </w:r>
          </w:p>
        </w:tc>
      </w:tr>
      <w:tr w:rsidR="007F6A18" w:rsidRPr="007F6A18" w14:paraId="78C4BDDA"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7C990C"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1A085008"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BF3015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44868C64"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1,6% por dia</w:t>
            </w:r>
          </w:p>
        </w:tc>
      </w:tr>
      <w:tr w:rsidR="007F6A18" w:rsidRPr="007F6A18" w14:paraId="476FE0A0"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B4591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57CBB6BA"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D2DEDD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26092226"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0,8% por dia</w:t>
            </w:r>
          </w:p>
        </w:tc>
      </w:tr>
      <w:tr w:rsidR="007F6A18" w:rsidRPr="007F6A18" w14:paraId="34FB3807"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092548"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3BE7F5C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CCBA23D"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3B1BCFA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0,8% por dia</w:t>
            </w:r>
          </w:p>
        </w:tc>
      </w:tr>
      <w:tr w:rsidR="007F6A18" w:rsidRPr="007F6A18" w14:paraId="6B0BCF19"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A13B0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5861AD18"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63A44BD"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746BEA6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0,4% por dia</w:t>
            </w:r>
          </w:p>
        </w:tc>
      </w:tr>
      <w:tr w:rsidR="007F6A18" w:rsidRPr="007F6A18" w14:paraId="5A850813"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14EB17"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208BB8A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B38D78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EB25574"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0,2% por dia</w:t>
            </w:r>
          </w:p>
        </w:tc>
      </w:tr>
      <w:tr w:rsidR="007F6A18" w:rsidRPr="007F6A18" w14:paraId="7207327A" w14:textId="77777777" w:rsidTr="007F6A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939EF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06453575" w14:textId="77777777" w:rsidR="007F6A18" w:rsidRPr="007F6A18" w:rsidRDefault="007F6A18" w:rsidP="007F6A18">
            <w:pPr>
              <w:ind w:left="120" w:right="120"/>
              <w:jc w:val="both"/>
              <w:rPr>
                <w:rFonts w:ascii="Arial" w:hAnsi="Arial" w:cs="Arial"/>
                <w:bCs/>
                <w:color w:val="000000"/>
                <w:sz w:val="16"/>
                <w:szCs w:val="16"/>
              </w:rPr>
            </w:pPr>
            <w:proofErr w:type="spellStart"/>
            <w:r w:rsidRPr="007F6A18">
              <w:rPr>
                <w:rFonts w:ascii="Arial" w:hAnsi="Arial" w:cs="Arial"/>
                <w:bCs/>
                <w:color w:val="000000"/>
                <w:sz w:val="16"/>
                <w:szCs w:val="16"/>
              </w:rPr>
              <w:t>Fornecer</w:t>
            </w:r>
            <w:proofErr w:type="spellEnd"/>
            <w:r w:rsidRPr="007F6A18">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8207BE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13F3CAC"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0,2% por dia</w:t>
            </w:r>
          </w:p>
        </w:tc>
      </w:tr>
    </w:tbl>
    <w:p w14:paraId="192861AB"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3D3798FD"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Incidente sobre a parte inadimplida do contrato.</w:t>
      </w:r>
    </w:p>
    <w:p w14:paraId="18F500C6"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0A2B5DC3"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10. DA UTILIZAÇÃO DA ATA</w:t>
      </w:r>
    </w:p>
    <w:p w14:paraId="3CB8AD4C"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3DD23F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10.2. É facultada aos órgãos s ou entidades municipais, distritais ou estaduais a adesão a ata de registro de preços da Administração Pública Estadual.</w:t>
      </w:r>
    </w:p>
    <w:p w14:paraId="25B8742C"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04D887D"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2979E85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7F6A18">
        <w:rPr>
          <w:rFonts w:ascii="Arial" w:hAnsi="Arial" w:cs="Arial"/>
          <w:bCs/>
          <w:color w:val="000000"/>
          <w:sz w:val="16"/>
          <w:szCs w:val="16"/>
        </w:rPr>
        <w:t>independente</w:t>
      </w:r>
      <w:proofErr w:type="spellEnd"/>
      <w:r w:rsidRPr="007F6A18">
        <w:rPr>
          <w:rFonts w:ascii="Arial" w:hAnsi="Arial" w:cs="Arial"/>
          <w:bCs/>
          <w:color w:val="000000"/>
          <w:sz w:val="16"/>
          <w:szCs w:val="16"/>
        </w:rPr>
        <w:t xml:space="preserve"> do número de órgãos não participantes que aderirem.</w:t>
      </w:r>
    </w:p>
    <w:p w14:paraId="44D35601"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10.6. Caberá ao órgão que se utilizar da ata, verificar a vantagem econômica da adesão a este Registro de Preço.</w:t>
      </w:r>
    </w:p>
    <w:p w14:paraId="7A973CA0"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 </w:t>
      </w:r>
    </w:p>
    <w:p w14:paraId="16FDC548"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11. DA ALTERAÇÃO DA ATA DE REGISTRO DE PREÇOS</w:t>
      </w:r>
    </w:p>
    <w:p w14:paraId="2086181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3565E3A"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14:paraId="3369C24B"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14:paraId="7B4F8E4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lastRenderedPageBreak/>
        <w:t>11.4. A ordem de classificação dos fornecedores que aceitarem reduzir seus preços aos valores de mercado observará a classificação original.</w:t>
      </w:r>
    </w:p>
    <w:p w14:paraId="36136F7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xml:space="preserve">11.5. Quando o preço de mercado tornar-se superior aos preços registrados, e o fornecedor não puder cumprir o </w:t>
      </w:r>
      <w:proofErr w:type="gramStart"/>
      <w:r w:rsidRPr="007F6A18">
        <w:rPr>
          <w:rFonts w:ascii="Arial" w:hAnsi="Arial" w:cs="Arial"/>
          <w:bCs/>
          <w:color w:val="000000"/>
          <w:sz w:val="16"/>
          <w:szCs w:val="16"/>
        </w:rPr>
        <w:t>compromisso ,</w:t>
      </w:r>
      <w:proofErr w:type="gramEnd"/>
      <w:r w:rsidRPr="007F6A18">
        <w:rPr>
          <w:rFonts w:ascii="Arial" w:hAnsi="Arial" w:cs="Arial"/>
          <w:bCs/>
          <w:color w:val="000000"/>
          <w:sz w:val="16"/>
          <w:szCs w:val="16"/>
        </w:rPr>
        <w:t xml:space="preserve"> o órgão gerenciador poderá:</w:t>
      </w:r>
    </w:p>
    <w:p w14:paraId="22A76745"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14:paraId="0B318967"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11.5.2. Convocar os demais fornecedores para assegurar igual oportunidade de negociação;</w:t>
      </w:r>
    </w:p>
    <w:p w14:paraId="0670E4E7"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14:paraId="340A130A"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0189250D"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12. DAS OBRIGAÇÕES DA DETENTORA DO REGISTRO</w:t>
      </w:r>
    </w:p>
    <w:p w14:paraId="055F22F7"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14:paraId="2DCD1CE6"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12.2. Dispor-se a toda e qualquer fiscalização, no tocante ao fornecimento do produto, assim como ao cumprimento das obrigações previstas na ATA;</w:t>
      </w:r>
    </w:p>
    <w:p w14:paraId="30DA674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14:paraId="45B7C59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62366E4"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14:paraId="072F09C1"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12.6. Respeitar e fazer cumprir a legislação de segurança e saúde no trabalho, previstas nas normas regulamentadoras pertinentes;</w:t>
      </w:r>
    </w:p>
    <w:p w14:paraId="3295EB2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3C6C3B26"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F25E8D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C613C65"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12.10. Todos os impostos e taxas que forem devidos em decorrência das contratações do objeto do Edital correrão por conta exclusiva da contratada;</w:t>
      </w:r>
    </w:p>
    <w:p w14:paraId="0956B773"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Cs/>
          <w:color w:val="000000"/>
          <w:sz w:val="16"/>
          <w:szCs w:val="16"/>
        </w:rPr>
        <w:t>  </w:t>
      </w:r>
    </w:p>
    <w:p w14:paraId="5EC87890"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13. DAS OBRIGAÇÕES DOS ÓRGÃOS REQUISITANTES</w:t>
      </w:r>
    </w:p>
    <w:p w14:paraId="4BC61895"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13.1. Proporcionar todas as facilidades indispensáveis à boa execução das obrigações contratuais;</w:t>
      </w:r>
    </w:p>
    <w:p w14:paraId="09A9F807"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13.2. Rejeitar, no todo ou em parte, os objetos desta Ata entregues em desacordo com as obrigações assumidas pelo fornecedor;</w:t>
      </w:r>
    </w:p>
    <w:p w14:paraId="589CED9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13.3. Notificar a CONTRATADA de qualquer irregularidade encontrada no fornecimento dos objetos desta Ata;</w:t>
      </w:r>
    </w:p>
    <w:p w14:paraId="1753E43F"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13.4. Efetuar o pagamento à(s) contratada(s) de acordo com as condições de preços e prazos estabelecidos no edital e ata de registro de preços</w:t>
      </w:r>
    </w:p>
    <w:p w14:paraId="0867FA50"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17FA961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xml:space="preserve">13.6. Não haverá </w:t>
      </w:r>
      <w:proofErr w:type="spellStart"/>
      <w:r w:rsidRPr="007F6A18">
        <w:rPr>
          <w:rFonts w:ascii="Arial" w:hAnsi="Arial" w:cs="Arial"/>
          <w:bCs/>
          <w:color w:val="000000"/>
          <w:sz w:val="16"/>
          <w:szCs w:val="16"/>
        </w:rPr>
        <w:t>sob-hipótese</w:t>
      </w:r>
      <w:proofErr w:type="spellEnd"/>
      <w:r w:rsidRPr="007F6A18">
        <w:rPr>
          <w:rFonts w:ascii="Arial" w:hAnsi="Arial" w:cs="Arial"/>
          <w:bCs/>
          <w:color w:val="000000"/>
          <w:sz w:val="16"/>
          <w:szCs w:val="16"/>
        </w:rPr>
        <w:t xml:space="preserve"> alguma, pagamento antecipado.</w:t>
      </w:r>
    </w:p>
    <w:p w14:paraId="035CF80E"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20A4E2B1"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14. DOS ÓRGÃOS PARTICIPANTES:</w:t>
      </w:r>
    </w:p>
    <w:p w14:paraId="70995D37"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14.1. É participante desta ata o seguinte órgão pertencente à Administração Pública do Estado de Rondônia:</w:t>
      </w:r>
    </w:p>
    <w:p w14:paraId="4699FAAB"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FHEMERON - Fundação de Hematologia e Hemoterapia do Estado de Rondônia.</w:t>
      </w:r>
    </w:p>
    <w:p w14:paraId="1C325D5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5333D009" w14:textId="77777777" w:rsidR="007F6A18" w:rsidRPr="007F6A18" w:rsidRDefault="007F6A18" w:rsidP="007F6A18">
      <w:pPr>
        <w:ind w:left="120" w:right="120"/>
        <w:jc w:val="both"/>
        <w:rPr>
          <w:rFonts w:ascii="Arial" w:hAnsi="Arial" w:cs="Arial"/>
          <w:b/>
          <w:bCs/>
          <w:color w:val="000000"/>
          <w:sz w:val="16"/>
          <w:szCs w:val="16"/>
        </w:rPr>
      </w:pPr>
      <w:r w:rsidRPr="007F6A18">
        <w:rPr>
          <w:rFonts w:ascii="Arial" w:hAnsi="Arial" w:cs="Arial"/>
          <w:b/>
          <w:bCs/>
          <w:color w:val="000000"/>
          <w:sz w:val="16"/>
          <w:szCs w:val="16"/>
        </w:rPr>
        <w:t>15.  DISPOSIÇÕES GERAIS</w:t>
      </w:r>
    </w:p>
    <w:p w14:paraId="05C0C5A9"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F6B9672"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14:paraId="6D777A23"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B95920B"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14:paraId="54107741"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w:t>
      </w:r>
    </w:p>
    <w:p w14:paraId="16BBC87D" w14:textId="77777777" w:rsidR="007F6A18" w:rsidRPr="007F6A18" w:rsidRDefault="007F6A18" w:rsidP="007F6A18">
      <w:pPr>
        <w:ind w:left="120" w:right="120"/>
        <w:jc w:val="both"/>
        <w:rPr>
          <w:rFonts w:ascii="Arial" w:hAnsi="Arial" w:cs="Arial"/>
          <w:bCs/>
          <w:color w:val="000000"/>
          <w:sz w:val="16"/>
          <w:szCs w:val="16"/>
        </w:rPr>
      </w:pPr>
      <w:r w:rsidRPr="007F6A18">
        <w:rPr>
          <w:rFonts w:ascii="Arial" w:hAnsi="Arial" w:cs="Arial"/>
          <w:bCs/>
          <w:color w:val="000000"/>
          <w:sz w:val="16"/>
          <w:szCs w:val="16"/>
        </w:rPr>
        <w:t>        Fica eleito o foro do Município de Porto Velho/RO para dirimir as eventuais controvérsias decorrentes do presente ajuste.</w:t>
      </w:r>
    </w:p>
    <w:p w14:paraId="3A10C9C4" w14:textId="77777777" w:rsidR="00E1660E" w:rsidRPr="00DE7F71" w:rsidRDefault="00E1660E" w:rsidP="00AB25DF">
      <w:pPr>
        <w:spacing w:before="120" w:after="120"/>
        <w:ind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EMPRESA</w:t>
      </w:r>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r w:rsidRPr="00DE7F71">
        <w:rPr>
          <w:rFonts w:ascii="Arial" w:hAnsi="Arial" w:cs="Arial"/>
          <w:b/>
          <w:bCs/>
          <w:color w:val="000000"/>
          <w:sz w:val="16"/>
          <w:szCs w:val="16"/>
        </w:rPr>
        <w:t>Qualificada</w:t>
      </w:r>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482B397C" w:rsidR="00C50BF7" w:rsidRPr="003A19C4" w:rsidRDefault="007F6A18"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25DF08-7395-4A4B-8FD9-02C76BA21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2909</Words>
  <Characters>16357</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2021-05-17T14:03:00Z</dcterms:created>
  <dcterms:modified xsi:type="dcterms:W3CDTF">2021-05-17T14:06:00Z</dcterms:modified>
</cp:coreProperties>
</file>