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E31B4" w14:textId="77777777" w:rsidR="00FF5C6C" w:rsidRPr="00A145C1" w:rsidRDefault="00FF5C6C" w:rsidP="00531DA4">
      <w:pPr>
        <w:pStyle w:val="Cabealho"/>
        <w:jc w:val="center"/>
      </w:pPr>
    </w:p>
    <w:p w14:paraId="55B59537" w14:textId="77777777" w:rsidR="00531DA4" w:rsidRPr="00A145C1" w:rsidRDefault="00531DA4" w:rsidP="00531DA4">
      <w:pPr>
        <w:pStyle w:val="Cabealho"/>
        <w:jc w:val="center"/>
      </w:pPr>
      <w:r w:rsidRPr="00A145C1">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A145C1" w:rsidRDefault="00531DA4" w:rsidP="00531DA4">
      <w:pPr>
        <w:pStyle w:val="Cabealho"/>
        <w:spacing w:before="100" w:after="100"/>
        <w:contextualSpacing/>
        <w:jc w:val="center"/>
      </w:pPr>
      <w:bookmarkStart w:id="0" w:name="OLE_LINK1"/>
      <w:r w:rsidRPr="00A145C1">
        <w:t>SUPERINTENDÊNCIA ESTADUAL DE LICITAÇÕES - SUPEL</w:t>
      </w:r>
    </w:p>
    <w:p w14:paraId="19511C46" w14:textId="77777777" w:rsidR="00531DA4" w:rsidRPr="00A145C1" w:rsidRDefault="00531DA4" w:rsidP="00531DA4">
      <w:pPr>
        <w:pStyle w:val="Cabealho"/>
        <w:spacing w:before="100" w:after="100"/>
        <w:contextualSpacing/>
        <w:jc w:val="center"/>
      </w:pPr>
      <w:r w:rsidRPr="00A145C1">
        <w:t xml:space="preserve">Complexo Rio Madeira - Ed. </w:t>
      </w:r>
      <w:r w:rsidR="001D7CAD" w:rsidRPr="00A145C1">
        <w:t>Pacaás Novos – 2º</w:t>
      </w:r>
      <w:r w:rsidRPr="00A145C1">
        <w:t xml:space="preserve"> Andar.</w:t>
      </w:r>
    </w:p>
    <w:p w14:paraId="57B666F2" w14:textId="77777777" w:rsidR="00531DA4" w:rsidRPr="00A145C1" w:rsidRDefault="00A41308" w:rsidP="00531DA4">
      <w:pPr>
        <w:pStyle w:val="Cabealho"/>
        <w:spacing w:before="100" w:after="100"/>
        <w:contextualSpacing/>
        <w:jc w:val="center"/>
        <w:rPr>
          <w:rFonts w:ascii="Arial" w:hAnsi="Arial" w:cs="Arial"/>
          <w:color w:val="000000"/>
          <w:sz w:val="16"/>
          <w:szCs w:val="16"/>
        </w:rPr>
      </w:pPr>
      <w:r w:rsidRPr="00A145C1">
        <w:rPr>
          <w:rFonts w:ascii="Arial" w:hAnsi="Arial" w:cs="Arial"/>
          <w:color w:val="000000"/>
          <w:sz w:val="16"/>
          <w:szCs w:val="16"/>
        </w:rPr>
        <w:t>Porto V</w:t>
      </w:r>
      <w:r w:rsidR="00531DA4" w:rsidRPr="00A145C1">
        <w:rPr>
          <w:rFonts w:ascii="Arial" w:hAnsi="Arial" w:cs="Arial"/>
          <w:color w:val="000000"/>
          <w:sz w:val="16"/>
          <w:szCs w:val="16"/>
        </w:rPr>
        <w:t xml:space="preserve">elho, Rondônia. </w:t>
      </w:r>
    </w:p>
    <w:bookmarkEnd w:id="0"/>
    <w:p w14:paraId="69B4610E" w14:textId="77777777" w:rsidR="009771B1" w:rsidRPr="00A145C1" w:rsidRDefault="009771B1" w:rsidP="009771B1">
      <w:pPr>
        <w:ind w:left="120" w:right="120"/>
        <w:jc w:val="both"/>
        <w:rPr>
          <w:rFonts w:ascii="Arial" w:hAnsi="Arial" w:cs="Arial"/>
          <w:color w:val="000000"/>
          <w:sz w:val="16"/>
          <w:szCs w:val="16"/>
        </w:rPr>
      </w:pPr>
    </w:p>
    <w:p w14:paraId="202FC85D" w14:textId="77777777" w:rsidR="00A145C1" w:rsidRPr="00A145C1" w:rsidRDefault="00A145C1" w:rsidP="00A145C1">
      <w:pPr>
        <w:pStyle w:val="newtextojustificado"/>
        <w:spacing w:before="120" w:after="120"/>
        <w:ind w:left="120" w:right="120"/>
        <w:jc w:val="both"/>
        <w:rPr>
          <w:rFonts w:ascii="Arial" w:hAnsi="Arial" w:cs="Arial"/>
          <w:b/>
          <w:bCs/>
          <w:color w:val="000000"/>
          <w:sz w:val="16"/>
          <w:szCs w:val="16"/>
          <w:lang w:val="pt-BR" w:eastAsia="pt-BR"/>
        </w:rPr>
      </w:pPr>
    </w:p>
    <w:p w14:paraId="310A427F" w14:textId="4ADBA505" w:rsidR="00A145C1" w:rsidRPr="00A145C1" w:rsidRDefault="00A145C1" w:rsidP="00A145C1">
      <w:pPr>
        <w:pStyle w:val="newtextojustificado"/>
        <w:spacing w:before="120" w:after="120"/>
        <w:ind w:left="120" w:right="120"/>
        <w:jc w:val="both"/>
        <w:rPr>
          <w:rFonts w:ascii="Arial" w:hAnsi="Arial" w:cs="Arial"/>
          <w:b/>
          <w:bCs/>
          <w:color w:val="000000"/>
          <w:sz w:val="16"/>
          <w:szCs w:val="16"/>
          <w:lang w:val="pt-BR" w:eastAsia="pt-BR"/>
        </w:rPr>
      </w:pPr>
      <w:r w:rsidRPr="00A145C1">
        <w:rPr>
          <w:rFonts w:ascii="Arial" w:hAnsi="Arial" w:cs="Arial"/>
          <w:b/>
          <w:bCs/>
          <w:color w:val="000000"/>
          <w:sz w:val="16"/>
          <w:szCs w:val="16"/>
          <w:lang w:val="pt-BR" w:eastAsia="pt-BR"/>
        </w:rPr>
        <w:t>ATA DE REGISTRO DE PREÇOS Nº 100/2021</w:t>
      </w:r>
    </w:p>
    <w:p w14:paraId="0336F486" w14:textId="031531A7" w:rsidR="00A145C1" w:rsidRPr="00A145C1" w:rsidRDefault="00A145C1" w:rsidP="00A145C1">
      <w:pPr>
        <w:pStyle w:val="newtextojustificado"/>
        <w:spacing w:before="120" w:after="120"/>
        <w:ind w:left="120" w:right="120"/>
        <w:jc w:val="both"/>
        <w:rPr>
          <w:rFonts w:ascii="Arial" w:hAnsi="Arial" w:cs="Arial"/>
          <w:b/>
          <w:bCs/>
          <w:color w:val="000000"/>
          <w:sz w:val="16"/>
          <w:szCs w:val="16"/>
          <w:lang w:val="pt-BR" w:eastAsia="pt-BR"/>
        </w:rPr>
      </w:pPr>
      <w:r w:rsidRPr="00A145C1">
        <w:rPr>
          <w:rFonts w:ascii="Arial" w:hAnsi="Arial" w:cs="Arial"/>
          <w:b/>
          <w:bCs/>
          <w:color w:val="000000"/>
          <w:sz w:val="16"/>
          <w:szCs w:val="16"/>
          <w:lang w:val="pt-BR" w:eastAsia="pt-BR"/>
        </w:rPr>
        <w:t>PREGÃO ELEÔNICO Nº 643/2020</w:t>
      </w:r>
    </w:p>
    <w:p w14:paraId="6E4F59B8" w14:textId="77777777" w:rsidR="00A145C1" w:rsidRPr="00A145C1" w:rsidRDefault="00A145C1" w:rsidP="00A145C1">
      <w:pPr>
        <w:pStyle w:val="newtextojustificado"/>
        <w:spacing w:before="120" w:after="120"/>
        <w:ind w:left="120" w:right="120"/>
        <w:jc w:val="both"/>
        <w:rPr>
          <w:rFonts w:ascii="Arial" w:hAnsi="Arial" w:cs="Arial"/>
          <w:b/>
          <w:bCs/>
          <w:color w:val="000000"/>
          <w:sz w:val="16"/>
          <w:szCs w:val="16"/>
          <w:lang w:val="pt-BR" w:eastAsia="pt-BR"/>
        </w:rPr>
      </w:pPr>
      <w:r w:rsidRPr="00A145C1">
        <w:rPr>
          <w:rFonts w:ascii="Arial" w:hAnsi="Arial" w:cs="Arial"/>
          <w:b/>
          <w:bCs/>
          <w:color w:val="000000"/>
          <w:sz w:val="16"/>
          <w:szCs w:val="16"/>
          <w:lang w:val="pt-BR" w:eastAsia="pt-BR"/>
        </w:rPr>
        <w:t>PROCESSO Nº 0036.148058/2019-44</w:t>
      </w:r>
    </w:p>
    <w:p w14:paraId="17385642" w14:textId="1093A66B" w:rsidR="00A145C1" w:rsidRPr="00A145C1" w:rsidRDefault="00A145C1" w:rsidP="00A145C1">
      <w:pPr>
        <w:pStyle w:val="newtextojustificado"/>
        <w:spacing w:before="120" w:after="120"/>
        <w:ind w:right="120"/>
        <w:jc w:val="both"/>
        <w:rPr>
          <w:rFonts w:ascii="Arial" w:hAnsi="Arial" w:cs="Arial"/>
          <w:b/>
          <w:bCs/>
          <w:color w:val="000000"/>
          <w:sz w:val="16"/>
          <w:szCs w:val="16"/>
          <w:lang w:val="pt-BR" w:eastAsia="pt-BR"/>
        </w:rPr>
      </w:pPr>
      <w:r w:rsidRPr="00A145C1">
        <w:rPr>
          <w:rFonts w:ascii="Arial" w:hAnsi="Arial" w:cs="Arial"/>
          <w:b/>
          <w:bCs/>
          <w:color w:val="000000"/>
          <w:sz w:val="16"/>
          <w:szCs w:val="16"/>
          <w:lang w:val="pt-BR" w:eastAsia="pt-BR"/>
        </w:rPr>
        <w:t xml:space="preserve">                             </w:t>
      </w:r>
    </w:p>
    <w:p w14:paraId="4ADB04C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futura e eventual contratação de materiais de consumo (Medicamentos Gerais) para atender as necessidades e demandas do Núcleo de Mandados Judiciais - NMJ,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56D9028" w14:textId="2E97CF12"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39033BA" w14:textId="10EFAE5F"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 DO OBJETO</w:t>
      </w:r>
    </w:p>
    <w:p w14:paraId="3E1D3E6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Registro de Preços futura e eventual contratação de materiais de consumo (Medicamentos Gerais) para atender as necessidades e demandas do Núcleo de Mandados Judiciais - NMJ, a pedido da Secretaria de Estado da Saúde - SESAU/RO.</w:t>
      </w:r>
    </w:p>
    <w:p w14:paraId="01C9837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2. DA VIGÊNCIA</w:t>
      </w:r>
    </w:p>
    <w:p w14:paraId="66D15AC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2.1. O presente Registro de Preços terá validade de 12 (doze) meses, contados a partir de sua publicação no Diário Oficial do Estado.</w:t>
      </w:r>
    </w:p>
    <w:p w14:paraId="2CD2608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2.1.1. A vigência dos contratos decorrentes do Sistema de Registro de Preços será definida nos instrumentos convocatórios, observado o artigo 57 da Lei 8.666, de 1993, conforme Decreto Estadual nº 18.340/13.</w:t>
      </w:r>
    </w:p>
    <w:p w14:paraId="644379D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3. DA GERÊNCIA DA PRESENTE ATA DE REGISTRO DE PREÇOS</w:t>
      </w:r>
    </w:p>
    <w:p w14:paraId="4FA556CE" w14:textId="5BD50F1F"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500072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C80F3A6" w14:textId="17B1F03B"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4. DA ESPECIFICAÇÃO, QUANTIDADE E PREÇO</w:t>
      </w:r>
    </w:p>
    <w:p w14:paraId="7A102196"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4.1. O preço, a quantidade, o fornecedor e a especificação do item registrado nesta Ata, encontram-se indicados no Anexo I deste instrumento.</w:t>
      </w:r>
    </w:p>
    <w:p w14:paraId="7AF7B0F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B4DD19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5. PRAZOS E CONDIÇÕES DE FORNECIMENTO</w:t>
      </w:r>
    </w:p>
    <w:p w14:paraId="6146EEF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A DETENTORA do registro de preços se obriga, nos termos do Edital e deste instrumento, a:</w:t>
      </w:r>
    </w:p>
    <w:p w14:paraId="4771738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5.1. Retirar a Nota de Empenho junto ao órgão solicitante no prazo de até 05 (cinco) dias, contados da convocação;</w:t>
      </w:r>
    </w:p>
    <w:p w14:paraId="6DE4561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5.2. Iniciar o fornecimento do objeto dessa Ata, conforme prazo estabelecido no Termo de Referência e edital de licitações.</w:t>
      </w:r>
    </w:p>
    <w:p w14:paraId="0968611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5.3. Não será admitida a entrega pela detentora do registro, de qualquer item, sem que esta esteja de posse da respectiva nota de empenho, liberação de fornecimento, ou documento equivalente.      </w:t>
      </w:r>
    </w:p>
    <w:p w14:paraId="0462732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FE7411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lastRenderedPageBreak/>
        <w:t>5.4. O objeto e/ou serviço desta ata deverá ser fornecido parcialmente durante a vigência da ata ou contrato, de acordo com as necessidades dos órgãos requerentes, nas quantidades solicitadas pelos mesmos.</w:t>
      </w:r>
    </w:p>
    <w:p w14:paraId="4424129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w:t>
      </w:r>
    </w:p>
    <w:p w14:paraId="6D8661F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6. DO PRAZO E LOCAL/INSTALAÇÃO DE ENTREGA</w:t>
      </w:r>
    </w:p>
    <w:p w14:paraId="560A56E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6.1. No recebimento e aceitação de qualquer item, objeto desta Ata de Registro de Preços, serão observadas as especificações contidas no instrumento convocatório.</w:t>
      </w:r>
    </w:p>
    <w:p w14:paraId="75709606"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6.2. Expedida a Nota de Empenho, o recebimento de seu objeto ficará condicionado a observância das normas contidas no art. 40, inciso XVI, c/c o art. 73 inciso II, “a” e “b”, da Lei 8.666/93 e alterações.</w:t>
      </w:r>
    </w:p>
    <w:p w14:paraId="39C99F7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6.3. DO PRAZO DE ENTREGA: - A entrega deverá ocorrer conforme solicitação via requisição da Secretaria de Saúde com definição da quantidade no prazo não superior a 10 (dez) dias corridos, contados a partir da confirmação de recebimento da Nota de Empenho.</w:t>
      </w:r>
    </w:p>
    <w:p w14:paraId="4E27A34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6.4. DO LOCAL DE ENTREGA: Os medicamentos e insumos deverão ser entregues no Setor de Dispensação e Almoxarifado do Núcleo de Ações Judiciais (NMJ/SESAU), sito a Rua Aparício Carvalho de Moraes, Av. </w:t>
      </w:r>
      <w:proofErr w:type="spellStart"/>
      <w:r w:rsidRPr="00A145C1">
        <w:rPr>
          <w:rFonts w:ascii="Arial" w:hAnsi="Arial" w:cs="Arial"/>
          <w:color w:val="000000"/>
          <w:sz w:val="16"/>
          <w:szCs w:val="16"/>
          <w:lang w:val="pt-BR" w:eastAsia="pt-BR"/>
        </w:rPr>
        <w:t>Calama</w:t>
      </w:r>
      <w:proofErr w:type="spellEnd"/>
      <w:r w:rsidRPr="00A145C1">
        <w:rPr>
          <w:rFonts w:ascii="Arial" w:hAnsi="Arial" w:cs="Arial"/>
          <w:color w:val="000000"/>
          <w:sz w:val="16"/>
          <w:szCs w:val="16"/>
          <w:lang w:val="pt-BR" w:eastAsia="pt-BR"/>
        </w:rPr>
        <w:t>, 4348 - Galpão C – Bairro: Setor Industrial – CEP: 76.821-240 - Porto Velho/RO. No horário de expediente das repartições públicas estaduais públicas, sendo das 07h:30min horas às 13h:30min horas, de segunda a sexta-feira. Sob os cuidados dos membros da Comissão de Recebimento NMJ/SESAU-</w:t>
      </w:r>
      <w:proofErr w:type="gramStart"/>
      <w:r w:rsidRPr="00A145C1">
        <w:rPr>
          <w:rFonts w:ascii="Arial" w:hAnsi="Arial" w:cs="Arial"/>
          <w:color w:val="000000"/>
          <w:sz w:val="16"/>
          <w:szCs w:val="16"/>
          <w:lang w:val="pt-BR" w:eastAsia="pt-BR"/>
        </w:rPr>
        <w:t>RO..</w:t>
      </w:r>
      <w:proofErr w:type="gramEnd"/>
    </w:p>
    <w:p w14:paraId="61AF501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333E2A7" w14:textId="1E56384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7.  DAS CONDIÇÕES DE PAGAMENTO          </w:t>
      </w:r>
    </w:p>
    <w:p w14:paraId="35B66A8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7.1. A empresa detentora da Ata apresentará a Gerência Financeira do Órgão requisitante a nota fiscal referente ao fornecimento efetuado.</w:t>
      </w:r>
    </w:p>
    <w:p w14:paraId="5CEB7DE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7.2. O respectivo Órgão terá o prazo de 10 (dez) dias úteis, a contar da apresentação da nota fiscal para aceitá-la ou rejeitá-la.</w:t>
      </w:r>
    </w:p>
    <w:p w14:paraId="0865D1C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7.3. A nota fiscal não aprovada será devolvida à empresa detentora da Ata para as necessárias correções, com as informações que motivaram sua rejeição, contando-se o prazo estabelecido no subitem 6.2. a partir da data de sua reapresentação.</w:t>
      </w:r>
    </w:p>
    <w:p w14:paraId="00220CF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7.4. A devolução da nota fiscal não aprovada, em hipótese alguma, servirá de pretexto para que a empresa detentora da Ata suspenda quaisquer fornecimentos.</w:t>
      </w:r>
    </w:p>
    <w:p w14:paraId="3A87F35E" w14:textId="43CEB4C4" w:rsid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7.5. O Estado de Rondônia, através dos órgãos requisitantes, providenciará o pagamento no prazo de até 30 (trinta) dias corridos, contada da data do aceite da nota fiscal.</w:t>
      </w:r>
    </w:p>
    <w:p w14:paraId="6BF9AA7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A8E6E6E" w14:textId="2C012AAB"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8.  DA DOTAÇÃO ORÇAMENTÁRIA</w:t>
      </w:r>
    </w:p>
    <w:p w14:paraId="343C34F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220BD6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D0F139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 DAS SANÇÕES</w:t>
      </w:r>
    </w:p>
    <w:p w14:paraId="190F8E0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9.1 - Comete infração administrativa nos termos da Lei nº 8.666, de 1993 e da Lei nº 10.520, de 2002, Decreto Estadual n° 12.205/06 e do Decreto Estadual n° 12.234/06, a contratada que:</w:t>
      </w:r>
    </w:p>
    <w:p w14:paraId="2BD703C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 - Não executar total ou parcialmente qualquer das obrigações assumidas em decorrência da contratação;</w:t>
      </w:r>
    </w:p>
    <w:p w14:paraId="3E7A556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II - Ensejar o retardamento da execução do objeto;</w:t>
      </w:r>
    </w:p>
    <w:p w14:paraId="114C03B6"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III - Falhar ou fraudar na execução do contrato;</w:t>
      </w:r>
    </w:p>
    <w:p w14:paraId="57C965C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IV - Comportar-se de modo inidôneo;</w:t>
      </w:r>
    </w:p>
    <w:p w14:paraId="54A6D36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V - Cometer fraude fiscal;</w:t>
      </w:r>
    </w:p>
    <w:p w14:paraId="656C377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VI - Não mantiver a proposta;</w:t>
      </w:r>
    </w:p>
    <w:p w14:paraId="260BA80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VII - Apresentar documento ou declaração falsa.</w:t>
      </w:r>
    </w:p>
    <w:p w14:paraId="53FEDA4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7309B95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717A0E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lastRenderedPageBreak/>
        <w:t xml:space="preserve">9.3 - Se a adjudicatária </w:t>
      </w:r>
      <w:proofErr w:type="gramStart"/>
      <w:r w:rsidRPr="00A145C1">
        <w:rPr>
          <w:rFonts w:ascii="Arial" w:hAnsi="Arial" w:cs="Arial"/>
          <w:color w:val="000000"/>
          <w:sz w:val="16"/>
          <w:szCs w:val="16"/>
          <w:lang w:val="pt-BR" w:eastAsia="pt-BR"/>
        </w:rPr>
        <w:t>recusar-se</w:t>
      </w:r>
      <w:proofErr w:type="gramEnd"/>
      <w:r w:rsidRPr="00A145C1">
        <w:rPr>
          <w:rFonts w:ascii="Arial" w:hAnsi="Arial" w:cs="Arial"/>
          <w:color w:val="000000"/>
          <w:sz w:val="16"/>
          <w:szCs w:val="16"/>
          <w:lang w:val="pt-BR" w:eastAsia="pt-BR"/>
        </w:rPr>
        <w:t xml:space="preserve"> a retirar o instrumento contratual injustificadamente ou se não apresentar situação regular na ocasião dos recebimentos, garantida a prévia e ampla defesa, aplicar à Contratada multa de até 1 % (um por cento) sobre o valor adjudicado.</w:t>
      </w:r>
    </w:p>
    <w:p w14:paraId="682428C6"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4E3D126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7F8483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2AF772C6"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1FAD50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9.6 - As multas previstas nesta seção não eximem a adjudicatária ou contratada da reparação dos eventuais danos, perdas ou prejuízos que seu ato punível venha causar à Administração.</w:t>
      </w:r>
    </w:p>
    <w:p w14:paraId="3ECAF86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BA894A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15.7 -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D5BD9E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7C464B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4579CF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02E62B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9.9 - As sanções serão aplicadas sem prejuízo da responsabilidade civil e criminal que possa ser acionada em desfavor da Contratada, conforme infração cometida e prejuízos causados a administração ou a terceiros.</w:t>
      </w:r>
    </w:p>
    <w:p w14:paraId="2E8DC0E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F2F11A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9.10 - As sanções de natureza pecuniária serão diretamente descontadas de créditos que eventualmente detenha a CONTRATADA ou efetuada a sua cobrança na forma prevista em lei.</w:t>
      </w:r>
    </w:p>
    <w:p w14:paraId="1BC4E71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BE1683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168F00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1CD571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9.12 - A autoridade competente, na aplicação das sanções, levará em consideração a gravidade da conduta do infrator, o caráter educativo da pena, bem como o dano causado à Administração, observado o princípio da proporcionalidade.</w:t>
      </w:r>
    </w:p>
    <w:p w14:paraId="6D940F8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424DB8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9.13 - A sanção será obrigatoriamente registrada no Sistema de Cadastramento Unificado de Fornecedores – SICAF, bem como em sistemas Estaduais.</w:t>
      </w:r>
    </w:p>
    <w:p w14:paraId="7505AA8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56B952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B467F5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A901C0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 - Tenham sofrido condenações definitivas por praticarem, por meio dolosos, fraude fiscal no recolhimento de tributos;</w:t>
      </w:r>
    </w:p>
    <w:p w14:paraId="258FEFD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DF0E6E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II - Tenham praticado atos ilícitos visando a frustrar os objetivos da licitação;</w:t>
      </w:r>
    </w:p>
    <w:p w14:paraId="3DD6A63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EB3BA0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III - Demonstrem não possuir idoneidade para contratar com a Administração em virtude de atos ilícitos praticados.</w:t>
      </w:r>
    </w:p>
    <w:p w14:paraId="7FF4E99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1B2760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9.15 - A contratada, total e/ou parcialmente inadimplente, serão aplicadas as sanções previstas nos artigos 86 e 87 da Lei Federal nº 8.666/93, a saber:</w:t>
      </w:r>
    </w:p>
    <w:p w14:paraId="66662C6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8C33B9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 - Advertência, sempre que for constatada irregularidade de pouca gravidade, para as quais tenha a Contratada concorrida diretamente, ocorrência que será registrada no Cadastro de Fornecedores do Estado de Rondônia.</w:t>
      </w:r>
    </w:p>
    <w:p w14:paraId="74D31D6C"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21CB05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II - Multa, cobrada pelo Estado, por via administrativa ou judicial, equivalente a 1% (um por cento) do valor estimado pelo item ofertado, ou ainda nos casos descritos abaixo:</w:t>
      </w:r>
    </w:p>
    <w:p w14:paraId="01A6006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86A407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7F38E9C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56D71F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b) Multa de 10% (dez por cento), na hipótese de inexecução parcial ou total de cada Nota de Empenho, calculada sobre o valor total da inadimplência ou na hipótese do não cumprimento de qualquer das obrigações assumidas.</w:t>
      </w:r>
    </w:p>
    <w:p w14:paraId="12B95E7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C69668C"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c) As multas serão, após regular processo administrativo, descontadas dos créditos da empresa detentora da Ata ou, se for o caso, cobrada administrativa ou judicialmente.</w:t>
      </w:r>
    </w:p>
    <w:p w14:paraId="229003F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9F5055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17DB39B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043050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IV - </w:t>
      </w:r>
      <w:proofErr w:type="gramStart"/>
      <w:r w:rsidRPr="00A145C1">
        <w:rPr>
          <w:rFonts w:ascii="Arial" w:hAnsi="Arial" w:cs="Arial"/>
          <w:color w:val="000000"/>
          <w:sz w:val="16"/>
          <w:szCs w:val="16"/>
          <w:lang w:val="pt-BR" w:eastAsia="pt-BR"/>
        </w:rPr>
        <w:t>declaração</w:t>
      </w:r>
      <w:proofErr w:type="gramEnd"/>
      <w:r w:rsidRPr="00A145C1">
        <w:rPr>
          <w:rFonts w:ascii="Arial" w:hAnsi="Arial" w:cs="Arial"/>
          <w:color w:val="000000"/>
          <w:sz w:val="16"/>
          <w:szCs w:val="16"/>
          <w:lang w:val="pt-BR" w:eastAsia="pt-BR"/>
        </w:rPr>
        <w:t xml:space="preserve"> de inidoneidade para licitar e contratar com a Administração Pública enquanto perdurarem os motivos determinantes da punição ou até que seja promovida a reabilitação perante a própria autoridade que aplicou a penalidade.</w:t>
      </w:r>
    </w:p>
    <w:p w14:paraId="36243FD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7B32A8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1F74233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577AD1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VI - As penalidades são independentes e a aplicação de uma não exclui a das demais, quando cabíveis.</w:t>
      </w:r>
    </w:p>
    <w:p w14:paraId="1B389A2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57ED6F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VII - Se a multa aplicada for superior ao valor da garantia prestada, além da perda desta, responderá o contratado pela sua diferença, que será descontada dos pagamentos eventualmente devidos pela Administração ou cobrada judicialmente.</w:t>
      </w:r>
    </w:p>
    <w:p w14:paraId="4E095A7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7E0121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VIII - As sanções previstas nos incisos I, III e IV deste subitem poderão ser aplicadas juntamente com a do inciso II, facultada a defesa prévia do interessado, no respectivo processo, no prazo de 5 (cinco) dias úteis.</w:t>
      </w:r>
    </w:p>
    <w:p w14:paraId="4A23098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D31154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A145C1">
        <w:rPr>
          <w:rFonts w:ascii="Arial" w:hAnsi="Arial" w:cs="Arial"/>
          <w:color w:val="000000"/>
          <w:sz w:val="16"/>
          <w:szCs w:val="16"/>
          <w:lang w:val="pt-BR" w:eastAsia="pt-BR"/>
        </w:rPr>
        <w:t>art</w:t>
      </w:r>
      <w:proofErr w:type="spellEnd"/>
      <w:r w:rsidRPr="00A145C1">
        <w:rPr>
          <w:rFonts w:ascii="Arial" w:hAnsi="Arial" w:cs="Arial"/>
          <w:color w:val="000000"/>
          <w:sz w:val="16"/>
          <w:szCs w:val="16"/>
          <w:lang w:val="pt-BR" w:eastAsia="pt-BR"/>
        </w:rPr>
        <w:t xml:space="preserve"> 109 inciso III da Lei Federal nº 8.666/93)</w:t>
      </w:r>
    </w:p>
    <w:p w14:paraId="1F08FB3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69B157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lastRenderedPageBreak/>
        <w:t xml:space="preserve">X - Aplica-se os efeitos da penalidade do subitem 16.15, IV </w:t>
      </w:r>
      <w:proofErr w:type="gramStart"/>
      <w:r w:rsidRPr="00A145C1">
        <w:rPr>
          <w:rFonts w:ascii="Arial" w:hAnsi="Arial" w:cs="Arial"/>
          <w:color w:val="000000"/>
          <w:sz w:val="16"/>
          <w:szCs w:val="16"/>
          <w:lang w:val="pt-BR" w:eastAsia="pt-BR"/>
        </w:rPr>
        <w:t>à</w:t>
      </w:r>
      <w:proofErr w:type="gramEnd"/>
      <w:r w:rsidRPr="00A145C1">
        <w:rPr>
          <w:rFonts w:ascii="Arial" w:hAnsi="Arial" w:cs="Arial"/>
          <w:color w:val="000000"/>
          <w:sz w:val="16"/>
          <w:szCs w:val="16"/>
          <w:lang w:val="pt-BR" w:eastAsia="pt-BR"/>
        </w:rPr>
        <w:t xml:space="preserve"> todos os entes Federativo e os efeitos do subitem 16.4 ao Ente Federativo que aplicou a sanção conforme posicionamento do STJ e PGE/RO.</w:t>
      </w:r>
    </w:p>
    <w:p w14:paraId="7693934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686003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9.16 - Na hipótese de apresentar documentação inverossímil ou de cometer fraude, o licitante poderá sofrer, sem prejuízo da comunicação do ocorrido ao Ministério Público, quaisquer das sanções adiante previstas, que poderão ser aplicadas cumulativamente:</w:t>
      </w:r>
    </w:p>
    <w:p w14:paraId="2DC2BD0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2D9C1B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9.16.1 - Desclassificação, se a seleção se encontrar em fase de julgamento;</w:t>
      </w:r>
    </w:p>
    <w:p w14:paraId="16E8F74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2630CF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9.16.2 - Cancelamento do preço registrado, procedendo-se à paralisação do fornecimento.</w:t>
      </w:r>
    </w:p>
    <w:p w14:paraId="2CF49BEC"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F0E77D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9.16.3 - O preço registrado poderá ser cancelado pela Administração Pública, nos termos do Artigo 24 e 25 do Decreto 18.340/13, quando:</w:t>
      </w:r>
    </w:p>
    <w:p w14:paraId="2917578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F86B92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9.16.3.1 - A Detentora do Registro deixar de cumprir total ou parcial as condições da Ata de Registro de Preços.</w:t>
      </w:r>
    </w:p>
    <w:p w14:paraId="6E78F8F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1F3C46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9.16.3.2 - A Detentora do Registro não retirar a nota de empenho ou instrumento equivalente no prazo estabelecido, sem justificativa aceita pela Administração;</w:t>
      </w:r>
    </w:p>
    <w:p w14:paraId="6FC3089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82EAE1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9.16.3.3 - A detentora incorrer reiteradamente em infrações previstas no Edital;</w:t>
      </w:r>
    </w:p>
    <w:p w14:paraId="21D9FC7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2B7B6C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9.16.3.4 - A Detentora do Registro que praticar atos fraudulentos no intuito de auferir vantagem ilícita;</w:t>
      </w:r>
    </w:p>
    <w:p w14:paraId="1CEBBDB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AD9217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9.16.3.5 - Não aceitar reduzir o seu preço registrado, na hipótese deste se tornar superior aqueles praticados no mercador ou sofrer sanção prevista nos incisos III ou IV do caput do artigo 87 da Lei 8.666/93 ou no artigo 7º da Lei 10.520/02.</w:t>
      </w:r>
    </w:p>
    <w:p w14:paraId="16E6B1B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B3CBC9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9.16.3.6 - Por razões de interesse público, mediante despacho motivado, devidamente justificado.</w:t>
      </w:r>
    </w:p>
    <w:p w14:paraId="541C5B3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EE3AC0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9.16.3.7 - O cancelamento do(s) registro(s) nas hipóteses dos subitens, 9.16.3.1, 9.16.3.2, 9.16.3.3, 9.16.3.4, 9.16.3.5, 9.16.3.6, será formalizado por despacho do órgão gerenciador, assegurado o contraditório e a ampla defesa.</w:t>
      </w:r>
    </w:p>
    <w:p w14:paraId="5F4ACBE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37E1EF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9.16.3.8 - O cancelamento do(s) registro nas hipóteses dos subitens acima, 9.16.3.1, 9.16.3.2, 9.16.3.3, 9.16.3.4, 9.16.3.5, acarretará ainda a aplicação das penalidades cabíveis, assegurado o contraditório e a ampla defesa.</w:t>
      </w:r>
    </w:p>
    <w:p w14:paraId="2876915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7B3A05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9.16.3.9 - O cancelamento do registro de preços poderá ocorrer por fato superveniente, decorrente de caso fortuito ou força maior, que prejudique o cumprimento da ata, devidamente comprovados e justificados:</w:t>
      </w:r>
    </w:p>
    <w:p w14:paraId="711BC1C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0E5359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 Por razões de interesse público;</w:t>
      </w:r>
    </w:p>
    <w:p w14:paraId="04460DD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E8CDF9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II) a pedido do fornecedor, desde que devidamente fundamentado e justificando e estando em consonância com a legislação vigente.</w:t>
      </w:r>
    </w:p>
    <w:p w14:paraId="4D6AADCC"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09A545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lastRenderedPageBreak/>
        <w:t>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BA1357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28BE24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9.18 - As sanções aqui previstas poderão ser aplicadas concomitantemente, facultada a defesa previa do interessado, no respectivo processo, no prazo de 05 (cinco) dias úteis.</w:t>
      </w:r>
    </w:p>
    <w:p w14:paraId="0B73A5E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EB0D4B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9.19 - Após 30 (trinta) dias corridos da falta de execução do objeto será considerada inexecução total do contrato, o que ensejara a rescisão contratual.</w:t>
      </w:r>
    </w:p>
    <w:p w14:paraId="10DDD1C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8C613B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9.20 - Para efeito de aplicação de multas, às infrações são atribuídos graus, com percentuais de multa </w:t>
      </w:r>
      <w:proofErr w:type="gramStart"/>
      <w:r w:rsidRPr="00A145C1">
        <w:rPr>
          <w:rFonts w:ascii="Arial" w:hAnsi="Arial" w:cs="Arial"/>
          <w:color w:val="000000"/>
          <w:sz w:val="16"/>
          <w:szCs w:val="16"/>
          <w:lang w:val="pt-BR" w:eastAsia="pt-BR"/>
        </w:rPr>
        <w:t>conforme  tabela</w:t>
      </w:r>
      <w:proofErr w:type="gramEnd"/>
      <w:r w:rsidRPr="00A145C1">
        <w:rPr>
          <w:rFonts w:ascii="Arial" w:hAnsi="Arial" w:cs="Arial"/>
          <w:color w:val="000000"/>
          <w:sz w:val="16"/>
          <w:szCs w:val="16"/>
          <w:lang w:val="pt-BR" w:eastAsia="pt-BR"/>
        </w:rPr>
        <w:t xml:space="preserve"> pormenorizada inserida no edital de licitações do pregão o qual originou-se esta ata . Na referida tabela estão </w:t>
      </w:r>
      <w:proofErr w:type="gramStart"/>
      <w:r w:rsidRPr="00A145C1">
        <w:rPr>
          <w:rFonts w:ascii="Arial" w:hAnsi="Arial" w:cs="Arial"/>
          <w:color w:val="000000"/>
          <w:sz w:val="16"/>
          <w:szCs w:val="16"/>
          <w:lang w:val="pt-BR" w:eastAsia="pt-BR"/>
        </w:rPr>
        <w:t>elencadas  apenas</w:t>
      </w:r>
      <w:proofErr w:type="gramEnd"/>
      <w:r w:rsidRPr="00A145C1">
        <w:rPr>
          <w:rFonts w:ascii="Arial" w:hAnsi="Arial" w:cs="Arial"/>
          <w:color w:val="000000"/>
          <w:sz w:val="16"/>
          <w:szCs w:val="16"/>
          <w:lang w:val="pt-BR" w:eastAsia="pt-BR"/>
        </w:rPr>
        <w:t xml:space="preserve"> as principais situações previstas, não eximindo de outras equivalentes que surgirem, conforme o caso.</w:t>
      </w:r>
    </w:p>
    <w:p w14:paraId="51EF2B7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F6297B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w:t>
      </w:r>
    </w:p>
    <w:p w14:paraId="646254F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B63592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10. DA UTILIZAÇÃO DA ATA</w:t>
      </w:r>
    </w:p>
    <w:p w14:paraId="1D5F446C"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AD0994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F94516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803500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10.2. É facultada aos órgãos s ou entidades municipais, distritais ou estaduais a adesão a ata de registro de preços da Administração Pública Estadual.</w:t>
      </w:r>
    </w:p>
    <w:p w14:paraId="1223040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45F2DD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26E065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1F5254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74A3ABB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5FFA20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A145C1">
        <w:rPr>
          <w:rFonts w:ascii="Arial" w:hAnsi="Arial" w:cs="Arial"/>
          <w:color w:val="000000"/>
          <w:sz w:val="16"/>
          <w:szCs w:val="16"/>
          <w:lang w:val="pt-BR" w:eastAsia="pt-BR"/>
        </w:rPr>
        <w:t>independente</w:t>
      </w:r>
      <w:proofErr w:type="spellEnd"/>
      <w:r w:rsidRPr="00A145C1">
        <w:rPr>
          <w:rFonts w:ascii="Arial" w:hAnsi="Arial" w:cs="Arial"/>
          <w:color w:val="000000"/>
          <w:sz w:val="16"/>
          <w:szCs w:val="16"/>
          <w:lang w:val="pt-BR" w:eastAsia="pt-BR"/>
        </w:rPr>
        <w:t xml:space="preserve"> do número de órgãos não participantes que aderirem.</w:t>
      </w:r>
    </w:p>
    <w:p w14:paraId="7AF723C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6248F9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10.6. Caberá ao órgão que se utilizar da ata, verificar a vantagem econômica da adesão a este Registro de Preço.</w:t>
      </w:r>
    </w:p>
    <w:p w14:paraId="73A4745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70FC5D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w:t>
      </w:r>
    </w:p>
    <w:p w14:paraId="0324637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608170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11. DA ALTERAÇÃO DA ATA DE REGISTRO DE PREÇOS</w:t>
      </w:r>
    </w:p>
    <w:p w14:paraId="1F68691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394B0B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A4CEF2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4801A6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lastRenderedPageBreak/>
        <w:t xml:space="preserve">11.2. Nos termos do Decreto Estadual 25.969 de 07 de </w:t>
      </w:r>
      <w:proofErr w:type="gramStart"/>
      <w:r w:rsidRPr="00A145C1">
        <w:rPr>
          <w:rFonts w:ascii="Arial" w:hAnsi="Arial" w:cs="Arial"/>
          <w:color w:val="000000"/>
          <w:sz w:val="16"/>
          <w:szCs w:val="16"/>
          <w:lang w:val="pt-BR" w:eastAsia="pt-BR"/>
        </w:rPr>
        <w:t>Abril</w:t>
      </w:r>
      <w:proofErr w:type="gramEnd"/>
      <w:r w:rsidRPr="00A145C1">
        <w:rPr>
          <w:rFonts w:ascii="Arial" w:hAnsi="Arial" w:cs="Arial"/>
          <w:color w:val="000000"/>
          <w:sz w:val="16"/>
          <w:szCs w:val="16"/>
          <w:lang w:val="pt-BR" w:eastAsia="pt-BR"/>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1822D9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A1C1F6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11.3. A revisão de preços prevista no caput do artigo 23B </w:t>
      </w:r>
      <w:proofErr w:type="gramStart"/>
      <w:r w:rsidRPr="00A145C1">
        <w:rPr>
          <w:rFonts w:ascii="Arial" w:hAnsi="Arial" w:cs="Arial"/>
          <w:color w:val="000000"/>
          <w:sz w:val="16"/>
          <w:szCs w:val="16"/>
          <w:lang w:val="pt-BR" w:eastAsia="pt-BR"/>
        </w:rPr>
        <w:t>do  Decreto</w:t>
      </w:r>
      <w:proofErr w:type="gramEnd"/>
      <w:r w:rsidRPr="00A145C1">
        <w:rPr>
          <w:rFonts w:ascii="Arial" w:hAnsi="Arial" w:cs="Arial"/>
          <w:color w:val="000000"/>
          <w:sz w:val="16"/>
          <w:szCs w:val="16"/>
          <w:lang w:val="pt-BR" w:eastAsia="pt-BR"/>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3EC62C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E96D31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B2C44C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C56C3F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11.5. Conforme disposto no § 4°</w:t>
      </w:r>
      <w:proofErr w:type="gramStart"/>
      <w:r w:rsidRPr="00A145C1">
        <w:rPr>
          <w:rFonts w:ascii="Arial" w:hAnsi="Arial" w:cs="Arial"/>
          <w:color w:val="000000"/>
          <w:sz w:val="16"/>
          <w:szCs w:val="16"/>
          <w:lang w:val="pt-BR" w:eastAsia="pt-BR"/>
        </w:rPr>
        <w:t>do  Decreto</w:t>
      </w:r>
      <w:proofErr w:type="gramEnd"/>
      <w:r w:rsidRPr="00A145C1">
        <w:rPr>
          <w:rFonts w:ascii="Arial" w:hAnsi="Arial" w:cs="Arial"/>
          <w:color w:val="000000"/>
          <w:sz w:val="16"/>
          <w:szCs w:val="16"/>
          <w:lang w:val="pt-BR" w:eastAsia="pt-BR"/>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07A9578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6901D6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11.5.1. O Decreto Estadual 18.340/2013 dispõe ainda no artigo 25, sobre as hipóteses do cancelamento do preço </w:t>
      </w:r>
      <w:proofErr w:type="gramStart"/>
      <w:r w:rsidRPr="00A145C1">
        <w:rPr>
          <w:rFonts w:ascii="Arial" w:hAnsi="Arial" w:cs="Arial"/>
          <w:color w:val="000000"/>
          <w:sz w:val="16"/>
          <w:szCs w:val="16"/>
          <w:lang w:val="pt-BR" w:eastAsia="pt-BR"/>
        </w:rPr>
        <w:t>registrado ,</w:t>
      </w:r>
      <w:proofErr w:type="gramEnd"/>
      <w:r w:rsidRPr="00A145C1">
        <w:rPr>
          <w:rFonts w:ascii="Arial" w:hAnsi="Arial" w:cs="Arial"/>
          <w:color w:val="000000"/>
          <w:sz w:val="16"/>
          <w:szCs w:val="16"/>
          <w:lang w:val="pt-BR" w:eastAsia="pt-BR"/>
        </w:rPr>
        <w:t xml:space="preserve"> que  poderá ocorrer por fato superveniente, decorrente de caso fortuito ou força maior, que prejudique o cumprimento da ata, devidamente comprovados e justificados,  por razão de interesse público; ou II - a pedido do fornecedor</w:t>
      </w:r>
    </w:p>
    <w:p w14:paraId="61C5C5B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B3E3B7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A145C1">
        <w:rPr>
          <w:rFonts w:ascii="Arial" w:hAnsi="Arial" w:cs="Arial"/>
          <w:color w:val="000000"/>
          <w:sz w:val="16"/>
          <w:szCs w:val="16"/>
          <w:lang w:val="pt-BR" w:eastAsia="pt-BR"/>
        </w:rPr>
        <w:t>registrado ,</w:t>
      </w:r>
      <w:proofErr w:type="gramEnd"/>
      <w:r w:rsidRPr="00A145C1">
        <w:rPr>
          <w:rFonts w:ascii="Arial" w:hAnsi="Arial" w:cs="Arial"/>
          <w:color w:val="000000"/>
          <w:sz w:val="16"/>
          <w:szCs w:val="16"/>
          <w:lang w:val="pt-BR" w:eastAsia="pt-BR"/>
        </w:rPr>
        <w:t xml:space="preserve"> na hipótese deste se tornar superior aqueles praticados no mercado, ou sofrer sanção prevista na forma do artigo 87 da Lei 8.666/93.</w:t>
      </w:r>
    </w:p>
    <w:p w14:paraId="1D7C4376"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334C9D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 DAS OBRIGAÇÕES DA DETENTORA DO REGISTRO</w:t>
      </w:r>
    </w:p>
    <w:p w14:paraId="5B2F9A3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C3B0AE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12.1. Substituir em qualquer tempo e sem qualquer Ônus para o Órgão/Entidade toda ou parte da remessa devolvida pela mesma, no prazo de 05 (cinco) dias úteis, caso constatada divergência na especificação;</w:t>
      </w:r>
    </w:p>
    <w:p w14:paraId="101E86E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E2B1CB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12.2. Dispor-se a toda e qualquer fiscalização, no tocante ao fornecimento do produto, assim como ao cumprimento das obrigações previstas na ATA;</w:t>
      </w:r>
    </w:p>
    <w:p w14:paraId="56F9AAE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31DC3F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12.3.  Prover todos os meios necessários à garantia da plena operacionalidade do fornecimento, inclusive considerados os casos de greve ou paralisação de qualquer natureza;</w:t>
      </w:r>
    </w:p>
    <w:p w14:paraId="67F3E47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28FE41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52D6DA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AD4040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12.5. Comunicar imediatamente à Administração Pública qualquer alteração ocorrida no endereço, conta bancária e outros julgáveis necessários para recebimento de correspondência;</w:t>
      </w:r>
    </w:p>
    <w:p w14:paraId="22AB0CA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712596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12.6. Respeitar e fazer cumprir a legislação de segurança e saúde no trabalho, previstas nas normas regulamentadoras pertinentes;</w:t>
      </w:r>
    </w:p>
    <w:p w14:paraId="35FBED3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CC7AD3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12.7. Fiscalizar o perfeito cumprimento do fornecimento a que se obrigou, cabendo-lhe, integralmente, os ônus decorrentes. Tal fiscalização dar-se-á independentemente da que será exercida pela Administração Pública.</w:t>
      </w:r>
    </w:p>
    <w:p w14:paraId="334E1D0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6BD93C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1DA1BA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7635C2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9D46FB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5CE5D8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12.10. Todos os impostos e taxas que forem devidos em decorrência das contratações do objeto do Edital correrão por conta exclusiva da contratada;</w:t>
      </w:r>
    </w:p>
    <w:p w14:paraId="28E6D7A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AEC638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w:t>
      </w:r>
    </w:p>
    <w:p w14:paraId="19B24866"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790202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13. DAS OBRIGAÇÕES DOS ÓRGÃOS REQUISITANTES</w:t>
      </w:r>
    </w:p>
    <w:p w14:paraId="1F2F8E9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E7DA5F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13.1. Proporcionar todas as facilidades indispensáveis à boa execução das obrigações contratuais;</w:t>
      </w:r>
    </w:p>
    <w:p w14:paraId="3556067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0440E7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13.2. Rejeitar, no todo ou em parte, os objetos desta Ata entregues em desacordo com as obrigações assumidas pelo fornecedor;</w:t>
      </w:r>
    </w:p>
    <w:p w14:paraId="0DEC3E1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B16645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13.3. Notificar a CONTRATADA de qualquer irregularidade encontrada no fornecimento dos objetos desta Ata;</w:t>
      </w:r>
    </w:p>
    <w:p w14:paraId="6514976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2021C6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13.4. Efetuar o pagamento à(s) contratada(s) de acordo com as condições de preços e prazos estabelecidos no edital e ata de registro de preços</w:t>
      </w:r>
    </w:p>
    <w:p w14:paraId="06091D5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6B6B49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13.5. Nenhum pagamento será efetuado à empresa adjudicatária, enquanto pendente de liquidação qualquer obrigação. Esse fato não será gerador de direito a reajustamento de preços ou a atualização monetária.</w:t>
      </w:r>
    </w:p>
    <w:p w14:paraId="4A3A207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2FBCCB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13.6. Não haverá </w:t>
      </w:r>
      <w:proofErr w:type="spellStart"/>
      <w:r w:rsidRPr="00A145C1">
        <w:rPr>
          <w:rFonts w:ascii="Arial" w:hAnsi="Arial" w:cs="Arial"/>
          <w:color w:val="000000"/>
          <w:sz w:val="16"/>
          <w:szCs w:val="16"/>
          <w:lang w:val="pt-BR" w:eastAsia="pt-BR"/>
        </w:rPr>
        <w:t>sob-hipótese</w:t>
      </w:r>
      <w:proofErr w:type="spellEnd"/>
      <w:r w:rsidRPr="00A145C1">
        <w:rPr>
          <w:rFonts w:ascii="Arial" w:hAnsi="Arial" w:cs="Arial"/>
          <w:color w:val="000000"/>
          <w:sz w:val="16"/>
          <w:szCs w:val="16"/>
          <w:lang w:val="pt-BR" w:eastAsia="pt-BR"/>
        </w:rPr>
        <w:t xml:space="preserve"> alguma, pagamento antecipado.</w:t>
      </w:r>
    </w:p>
    <w:p w14:paraId="00E8983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6253240"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w:t>
      </w:r>
    </w:p>
    <w:p w14:paraId="0C05B62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2294FE1"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14. DA ALTERAÇÃO DAS MARCAS DOS ITENS REGISTRADOS</w:t>
      </w:r>
    </w:p>
    <w:p w14:paraId="15EA4B8C"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861076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14.1. A marca/laboratório do item registrado poderá ser alterada, desde que seja por outra marca compatível em qualidade com a inicialmente ofertada, de acordo com a decisão nº 142/12/GCPCN.</w:t>
      </w:r>
    </w:p>
    <w:p w14:paraId="1D6620E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209555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14.2. A alteração deverá ser em decorrência de eventual fato superveniente, que impeça a detentora de cumprir com a entrega da marca/laboratório apresentada na proposta inicial, devidamente justificada e comprovada.</w:t>
      </w:r>
    </w:p>
    <w:p w14:paraId="6B1C14D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F58705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14.3. Para substituição da marca registrada a empresa detentora deverá:</w:t>
      </w:r>
    </w:p>
    <w:p w14:paraId="6ED9C92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4062B4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14.3.1. Justificar a troca com a devida documentação, para análise do órgão gerenciador e equipe técnica da Diretoria de Assistência Farmacêutica - DAF, devendo apresentar amostra do produto da nova marca/laboratório ofertada, bem como registro do produto na ANVISA e Certificado de Boas Práticas vigente.</w:t>
      </w:r>
    </w:p>
    <w:p w14:paraId="6BB6AAB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9C1091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14.3.2. O órgão gerenciador da ata de registro de preços, de posse da documentação apresentada, analisará o pedido, e com base no parecer técnico, poderá deferi-lo ou negá-lo.</w:t>
      </w:r>
    </w:p>
    <w:p w14:paraId="5D86E86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1B8EE64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14.3.3. Em qualquer caso, a troca de marca não poderá ser efetivada se a nova marca ofertada for incompatível ou de qualidade e quantidade inferior a inicialmente ofertada.</w:t>
      </w:r>
    </w:p>
    <w:p w14:paraId="5425EFDD"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E6FCD9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14.3.4. Quaisquer custos adicionais oriundo da alteração da marca/laboratório ficarão por conta da detentora do registro de preços, ficando vedada a cobrança de custos adicionais a Administração Pública.</w:t>
      </w:r>
    </w:p>
    <w:p w14:paraId="322F3808"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58854F6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w:t>
      </w:r>
    </w:p>
    <w:p w14:paraId="0D4389E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30EC6F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15. DOS ÓRGÃOS PARTICIPANTES:</w:t>
      </w:r>
    </w:p>
    <w:p w14:paraId="18F5218B"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0F14A38C"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15.1. É participante desta ata o seguinte órgão pertencente à Administração Pública do Estado de Rondônia:</w:t>
      </w:r>
    </w:p>
    <w:p w14:paraId="25D2E15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261C8CC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SESAU – Secretaria de Estado da Saúde.</w:t>
      </w:r>
    </w:p>
    <w:p w14:paraId="30512F32"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358C4B8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w:t>
      </w:r>
    </w:p>
    <w:p w14:paraId="623A8D5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B4D939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16.  DISPOSIÇÕES GERAIS</w:t>
      </w:r>
    </w:p>
    <w:p w14:paraId="6A23857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FC3BA8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16.1.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2D7FC3A"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2F40A9E"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16.2. Fica a Detentora ciente que a publicidade da ata de registro de preços na imprensa oficial terá efeito de compromisso nas condições ofertadas e pactuadas na proposta apresentada à licitação.</w:t>
      </w:r>
    </w:p>
    <w:p w14:paraId="17484F87"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4C1FB8E5"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16.3.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80514A3"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5F59D2F"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16.4. Fazem parte integrante desta Ata, para todos os efeitos legais: o Edital de Licitação e seus anexos, bem como, o ANEXO ÚNICO desta ata que contém os preços registrados e respectivos detentores.</w:t>
      </w:r>
    </w:p>
    <w:p w14:paraId="6A9C0A8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7F4D0A59"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xml:space="preserve"> </w:t>
      </w:r>
    </w:p>
    <w:p w14:paraId="4992FDB4" w14:textId="77777777" w:rsidR="00A145C1" w:rsidRPr="00A145C1" w:rsidRDefault="00A145C1" w:rsidP="00A145C1">
      <w:pPr>
        <w:pStyle w:val="newtextojustificado"/>
        <w:spacing w:before="120" w:after="120"/>
        <w:ind w:left="120" w:right="120"/>
        <w:jc w:val="both"/>
        <w:rPr>
          <w:rFonts w:ascii="Arial" w:hAnsi="Arial" w:cs="Arial"/>
          <w:color w:val="000000"/>
          <w:sz w:val="16"/>
          <w:szCs w:val="16"/>
          <w:lang w:val="pt-BR" w:eastAsia="pt-BR"/>
        </w:rPr>
      </w:pPr>
    </w:p>
    <w:p w14:paraId="6648BBA6" w14:textId="271BC885" w:rsidR="00D50661" w:rsidRPr="00A145C1" w:rsidRDefault="00A145C1" w:rsidP="00A145C1">
      <w:pPr>
        <w:pStyle w:val="newtextojustificado"/>
        <w:spacing w:before="120" w:beforeAutospacing="0" w:after="120" w:afterAutospacing="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lastRenderedPageBreak/>
        <w:t xml:space="preserve">        Fica eleito o foro do Município de Porto Velho/RO para dirimir as eventuais controvérsias decorrentes do presente ajuste.</w:t>
      </w:r>
    </w:p>
    <w:p w14:paraId="303A1AAB" w14:textId="51FD749F" w:rsidR="00FC465F" w:rsidRPr="00A145C1" w:rsidRDefault="00FC465F" w:rsidP="00A145C1">
      <w:pPr>
        <w:spacing w:before="120" w:after="120"/>
        <w:ind w:left="120" w:right="120"/>
        <w:jc w:val="both"/>
        <w:rPr>
          <w:rFonts w:ascii="Arial" w:hAnsi="Arial" w:cs="Arial"/>
          <w:color w:val="000000"/>
          <w:sz w:val="16"/>
          <w:szCs w:val="16"/>
        </w:rPr>
      </w:pPr>
    </w:p>
    <w:p w14:paraId="464F6550" w14:textId="77777777" w:rsidR="00827C82" w:rsidRPr="00A145C1" w:rsidRDefault="00827C82" w:rsidP="00A145C1">
      <w:pPr>
        <w:pStyle w:val="newtextojustificado"/>
        <w:spacing w:before="120" w:beforeAutospacing="0" w:after="120" w:afterAutospacing="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w:t>
      </w:r>
    </w:p>
    <w:p w14:paraId="01F56C2F" w14:textId="7C8353EB" w:rsidR="0081583C" w:rsidRPr="00A145C1" w:rsidRDefault="0081583C" w:rsidP="00A145C1">
      <w:pPr>
        <w:ind w:right="47"/>
        <w:rPr>
          <w:rFonts w:ascii="Arial" w:hAnsi="Arial" w:cs="Arial"/>
          <w:color w:val="000000"/>
          <w:sz w:val="16"/>
          <w:szCs w:val="16"/>
          <w:lang w:val="pt-PT"/>
        </w:rPr>
      </w:pPr>
    </w:p>
    <w:p w14:paraId="3A10C9C4" w14:textId="77777777" w:rsidR="00E1660E" w:rsidRPr="00A145C1" w:rsidRDefault="00E1660E" w:rsidP="00A145C1">
      <w:pPr>
        <w:spacing w:before="120" w:after="120"/>
        <w:ind w:left="120" w:right="120"/>
        <w:jc w:val="both"/>
        <w:rPr>
          <w:rFonts w:ascii="Arial" w:hAnsi="Arial" w:cs="Arial"/>
          <w:color w:val="000000"/>
          <w:sz w:val="16"/>
          <w:szCs w:val="16"/>
        </w:rPr>
      </w:pPr>
      <w:r w:rsidRPr="00A145C1">
        <w:rPr>
          <w:rFonts w:ascii="Arial" w:hAnsi="Arial" w:cs="Arial"/>
          <w:color w:val="000000"/>
          <w:sz w:val="16"/>
          <w:szCs w:val="16"/>
        </w:rPr>
        <w:t> </w:t>
      </w:r>
    </w:p>
    <w:p w14:paraId="311948D5" w14:textId="77777777" w:rsidR="00067B8E" w:rsidRPr="00A145C1" w:rsidRDefault="00067B8E" w:rsidP="00A145C1">
      <w:pPr>
        <w:jc w:val="both"/>
        <w:rPr>
          <w:rFonts w:ascii="Arial" w:hAnsi="Arial" w:cs="Arial"/>
          <w:sz w:val="16"/>
          <w:szCs w:val="16"/>
        </w:rPr>
      </w:pPr>
    </w:p>
    <w:p w14:paraId="320BEB0C" w14:textId="77777777" w:rsidR="000B1908" w:rsidRPr="00A145C1" w:rsidRDefault="000B1908" w:rsidP="00A145C1">
      <w:pPr>
        <w:ind w:right="47"/>
        <w:jc w:val="both"/>
        <w:rPr>
          <w:rFonts w:ascii="Arial" w:hAnsi="Arial" w:cs="Arial"/>
          <w:color w:val="000000"/>
          <w:sz w:val="16"/>
          <w:szCs w:val="16"/>
        </w:rPr>
      </w:pPr>
    </w:p>
    <w:p w14:paraId="0E44F2C5" w14:textId="77777777" w:rsidR="009D2314" w:rsidRPr="00A145C1" w:rsidRDefault="009D2314" w:rsidP="00A145C1">
      <w:pPr>
        <w:ind w:right="47"/>
        <w:jc w:val="both"/>
        <w:rPr>
          <w:rFonts w:ascii="Arial" w:hAnsi="Arial" w:cs="Arial"/>
          <w:color w:val="000000"/>
          <w:sz w:val="16"/>
          <w:szCs w:val="16"/>
        </w:rPr>
      </w:pPr>
      <w:r w:rsidRPr="00A145C1">
        <w:rPr>
          <w:rFonts w:ascii="Arial" w:hAnsi="Arial" w:cs="Arial"/>
          <w:color w:val="000000"/>
          <w:sz w:val="16"/>
          <w:szCs w:val="16"/>
        </w:rPr>
        <w:t>ÓRGÃO GERENCIADOR:</w:t>
      </w:r>
    </w:p>
    <w:p w14:paraId="06222704" w14:textId="77777777" w:rsidR="005F5204" w:rsidRPr="00A145C1" w:rsidRDefault="005F5204" w:rsidP="00A145C1">
      <w:pPr>
        <w:ind w:right="47"/>
        <w:rPr>
          <w:rFonts w:ascii="Arial" w:hAnsi="Arial" w:cs="Arial"/>
          <w:color w:val="000000"/>
          <w:sz w:val="16"/>
          <w:szCs w:val="16"/>
        </w:rPr>
      </w:pPr>
    </w:p>
    <w:p w14:paraId="673F87D0" w14:textId="77777777" w:rsidR="00187082" w:rsidRPr="00A145C1" w:rsidRDefault="00187082" w:rsidP="00A145C1">
      <w:pPr>
        <w:ind w:right="47"/>
        <w:rPr>
          <w:rStyle w:val="Forte"/>
          <w:rFonts w:ascii="Arial" w:eastAsiaTheme="majorEastAsia" w:hAnsi="Arial" w:cs="Arial"/>
          <w:b w:val="0"/>
          <w:bCs w:val="0"/>
          <w:color w:val="000000"/>
          <w:sz w:val="16"/>
          <w:szCs w:val="16"/>
        </w:rPr>
      </w:pPr>
      <w:r w:rsidRPr="00A145C1">
        <w:rPr>
          <w:rFonts w:ascii="Arial" w:hAnsi="Arial" w:cs="Arial"/>
          <w:sz w:val="16"/>
          <w:szCs w:val="16"/>
        </w:rPr>
        <w:t>ISRAEL EVANGELISTA DA SILVA</w:t>
      </w:r>
      <w:r w:rsidRPr="00A145C1">
        <w:rPr>
          <w:rStyle w:val="Forte"/>
          <w:rFonts w:ascii="Arial" w:eastAsiaTheme="majorEastAsia" w:hAnsi="Arial" w:cs="Arial"/>
          <w:b w:val="0"/>
          <w:bCs w:val="0"/>
          <w:color w:val="000000"/>
          <w:sz w:val="16"/>
          <w:szCs w:val="16"/>
        </w:rPr>
        <w:t> </w:t>
      </w:r>
      <w:r w:rsidR="00B81155" w:rsidRPr="00A145C1">
        <w:rPr>
          <w:rFonts w:ascii="Arial" w:hAnsi="Arial" w:cs="Arial"/>
          <w:color w:val="000000"/>
          <w:sz w:val="16"/>
          <w:szCs w:val="16"/>
        </w:rPr>
        <w:tab/>
      </w:r>
      <w:r w:rsidR="00B81155" w:rsidRPr="00A145C1">
        <w:rPr>
          <w:rFonts w:ascii="Arial" w:hAnsi="Arial" w:cs="Arial"/>
          <w:color w:val="000000"/>
          <w:sz w:val="16"/>
          <w:szCs w:val="16"/>
        </w:rPr>
        <w:tab/>
      </w:r>
      <w:r w:rsidRPr="00A145C1">
        <w:rPr>
          <w:rFonts w:ascii="Arial" w:hAnsi="Arial" w:cs="Arial"/>
          <w:color w:val="000000"/>
          <w:sz w:val="16"/>
          <w:szCs w:val="16"/>
        </w:rPr>
        <w:t xml:space="preserve">                 </w:t>
      </w:r>
      <w:r w:rsidRPr="00A145C1">
        <w:rPr>
          <w:rFonts w:ascii="Arial" w:hAnsi="Arial" w:cs="Arial"/>
          <w:sz w:val="16"/>
          <w:szCs w:val="16"/>
        </w:rPr>
        <w:t>GENEAN PRESTES DOS SANTOS</w:t>
      </w:r>
      <w:r w:rsidRPr="00A145C1">
        <w:rPr>
          <w:rStyle w:val="Forte"/>
          <w:rFonts w:ascii="Arial" w:eastAsiaTheme="majorEastAsia" w:hAnsi="Arial" w:cs="Arial"/>
          <w:b w:val="0"/>
          <w:bCs w:val="0"/>
          <w:color w:val="000000"/>
          <w:sz w:val="16"/>
          <w:szCs w:val="16"/>
        </w:rPr>
        <w:t> </w:t>
      </w:r>
    </w:p>
    <w:p w14:paraId="0B4A1BB8" w14:textId="77777777" w:rsidR="00E746DF" w:rsidRPr="00A145C1" w:rsidRDefault="00B81155" w:rsidP="00A145C1">
      <w:pPr>
        <w:ind w:right="47"/>
        <w:rPr>
          <w:rFonts w:ascii="Arial" w:hAnsi="Arial" w:cs="Arial"/>
          <w:color w:val="000000"/>
          <w:sz w:val="16"/>
          <w:szCs w:val="16"/>
        </w:rPr>
      </w:pPr>
      <w:r w:rsidRPr="00A145C1">
        <w:rPr>
          <w:rFonts w:ascii="Arial" w:hAnsi="Arial" w:cs="Arial"/>
          <w:color w:val="000000"/>
          <w:sz w:val="16"/>
          <w:szCs w:val="16"/>
        </w:rPr>
        <w:t>Superint</w:t>
      </w:r>
      <w:r w:rsidR="00187082" w:rsidRPr="00A145C1">
        <w:rPr>
          <w:rFonts w:ascii="Arial" w:hAnsi="Arial" w:cs="Arial"/>
          <w:color w:val="000000"/>
          <w:sz w:val="16"/>
          <w:szCs w:val="16"/>
        </w:rPr>
        <w:t>endente Estadual de Licitações</w:t>
      </w:r>
      <w:r w:rsidR="00BB3B62" w:rsidRPr="00A145C1">
        <w:rPr>
          <w:rFonts w:ascii="Arial" w:hAnsi="Arial" w:cs="Arial"/>
          <w:color w:val="000000"/>
          <w:sz w:val="16"/>
          <w:szCs w:val="16"/>
        </w:rPr>
        <w:t xml:space="preserve">                </w:t>
      </w:r>
      <w:r w:rsidR="00187082" w:rsidRPr="00A145C1">
        <w:rPr>
          <w:rFonts w:ascii="Arial" w:hAnsi="Arial" w:cs="Arial"/>
          <w:color w:val="000000"/>
          <w:sz w:val="16"/>
          <w:szCs w:val="16"/>
        </w:rPr>
        <w:t xml:space="preserve">                 </w:t>
      </w:r>
      <w:r w:rsidRPr="00A145C1">
        <w:rPr>
          <w:rFonts w:ascii="Arial" w:hAnsi="Arial" w:cs="Arial"/>
          <w:color w:val="000000"/>
          <w:sz w:val="16"/>
          <w:szCs w:val="16"/>
        </w:rPr>
        <w:t>Coordenadora de Sistem</w:t>
      </w:r>
      <w:r w:rsidR="00187082" w:rsidRPr="00A145C1">
        <w:rPr>
          <w:rFonts w:ascii="Arial" w:hAnsi="Arial" w:cs="Arial"/>
          <w:color w:val="000000"/>
          <w:sz w:val="16"/>
          <w:szCs w:val="16"/>
        </w:rPr>
        <w:t xml:space="preserve">a de Registro de Preços </w:t>
      </w:r>
    </w:p>
    <w:p w14:paraId="35161D90" w14:textId="77777777" w:rsidR="00187082" w:rsidRPr="00A145C1" w:rsidRDefault="00187082" w:rsidP="00A145C1">
      <w:pPr>
        <w:ind w:right="47"/>
        <w:rPr>
          <w:rFonts w:ascii="Arial" w:hAnsi="Arial" w:cs="Arial"/>
          <w:color w:val="000000"/>
          <w:sz w:val="16"/>
          <w:szCs w:val="16"/>
        </w:rPr>
      </w:pPr>
    </w:p>
    <w:p w14:paraId="2C78EE3D" w14:textId="77777777" w:rsidR="00876638" w:rsidRPr="00A145C1" w:rsidRDefault="00876638" w:rsidP="00A145C1">
      <w:pPr>
        <w:ind w:right="47"/>
        <w:jc w:val="both"/>
        <w:rPr>
          <w:rFonts w:ascii="Arial" w:hAnsi="Arial" w:cs="Arial"/>
          <w:color w:val="000000"/>
          <w:sz w:val="16"/>
          <w:szCs w:val="16"/>
        </w:rPr>
      </w:pPr>
    </w:p>
    <w:p w14:paraId="3658543B" w14:textId="77777777" w:rsidR="009D2314" w:rsidRPr="00A145C1" w:rsidRDefault="009D2314" w:rsidP="00A145C1">
      <w:pPr>
        <w:ind w:right="47"/>
        <w:jc w:val="both"/>
        <w:rPr>
          <w:rFonts w:ascii="Arial" w:hAnsi="Arial" w:cs="Arial"/>
          <w:color w:val="000000"/>
          <w:sz w:val="16"/>
          <w:szCs w:val="16"/>
        </w:rPr>
      </w:pPr>
      <w:r w:rsidRPr="00A145C1">
        <w:rPr>
          <w:rFonts w:ascii="Arial" w:hAnsi="Arial" w:cs="Arial"/>
          <w:color w:val="000000"/>
          <w:sz w:val="16"/>
          <w:szCs w:val="16"/>
        </w:rPr>
        <w:t>EMPRESA</w:t>
      </w:r>
      <w:r w:rsidR="00490488" w:rsidRPr="00A145C1">
        <w:rPr>
          <w:rFonts w:ascii="Arial" w:hAnsi="Arial" w:cs="Arial"/>
          <w:color w:val="000000"/>
          <w:sz w:val="16"/>
          <w:szCs w:val="16"/>
        </w:rPr>
        <w:t>(S)</w:t>
      </w:r>
      <w:r w:rsidR="004C43D9" w:rsidRPr="00A145C1">
        <w:rPr>
          <w:rFonts w:ascii="Arial" w:hAnsi="Arial" w:cs="Arial"/>
          <w:color w:val="000000"/>
          <w:sz w:val="16"/>
          <w:szCs w:val="16"/>
        </w:rPr>
        <w:t xml:space="preserve"> DETENTORA</w:t>
      </w:r>
      <w:r w:rsidR="00490488" w:rsidRPr="00A145C1">
        <w:rPr>
          <w:rFonts w:ascii="Arial" w:hAnsi="Arial" w:cs="Arial"/>
          <w:color w:val="000000"/>
          <w:sz w:val="16"/>
          <w:szCs w:val="16"/>
        </w:rPr>
        <w:t>(S)</w:t>
      </w:r>
      <w:r w:rsidRPr="00A145C1">
        <w:rPr>
          <w:rFonts w:ascii="Arial" w:hAnsi="Arial" w:cs="Arial"/>
          <w:color w:val="000000"/>
          <w:sz w:val="16"/>
          <w:szCs w:val="16"/>
        </w:rPr>
        <w:t>:</w:t>
      </w:r>
    </w:p>
    <w:p w14:paraId="75A42C81" w14:textId="77777777" w:rsidR="009D2314" w:rsidRPr="00A145C1" w:rsidRDefault="002B37D9" w:rsidP="00A145C1">
      <w:pPr>
        <w:ind w:right="47"/>
        <w:jc w:val="both"/>
        <w:rPr>
          <w:rFonts w:ascii="Arial" w:hAnsi="Arial" w:cs="Arial"/>
          <w:color w:val="000000"/>
          <w:sz w:val="16"/>
          <w:szCs w:val="16"/>
        </w:rPr>
      </w:pPr>
      <w:r w:rsidRPr="00A145C1">
        <w:rPr>
          <w:rFonts w:ascii="Arial" w:hAnsi="Arial" w:cs="Arial"/>
          <w:color w:val="000000"/>
          <w:sz w:val="16"/>
          <w:szCs w:val="16"/>
        </w:rPr>
        <w:t>Qualificada</w:t>
      </w:r>
      <w:r w:rsidR="00490488" w:rsidRPr="00A145C1">
        <w:rPr>
          <w:rFonts w:ascii="Arial" w:hAnsi="Arial" w:cs="Arial"/>
          <w:color w:val="000000"/>
          <w:sz w:val="16"/>
          <w:szCs w:val="16"/>
        </w:rPr>
        <w:t>(s)</w:t>
      </w:r>
      <w:r w:rsidRPr="00A145C1">
        <w:rPr>
          <w:rFonts w:ascii="Arial" w:hAnsi="Arial" w:cs="Arial"/>
          <w:color w:val="000000"/>
          <w:sz w:val="16"/>
          <w:szCs w:val="16"/>
        </w:rPr>
        <w:t xml:space="preserve"> no Anexo Único desta Ata</w:t>
      </w:r>
    </w:p>
    <w:p w14:paraId="364C3F3C" w14:textId="77777777" w:rsidR="00F14932" w:rsidRPr="00A145C1" w:rsidRDefault="00F14932" w:rsidP="00A145C1">
      <w:pPr>
        <w:ind w:right="47"/>
        <w:jc w:val="both"/>
        <w:rPr>
          <w:rFonts w:ascii="Arial" w:hAnsi="Arial" w:cs="Arial"/>
          <w:color w:val="000000"/>
          <w:sz w:val="16"/>
          <w:szCs w:val="16"/>
        </w:rPr>
      </w:pPr>
    </w:p>
    <w:p w14:paraId="2622A9B4" w14:textId="77777777" w:rsidR="00F14932" w:rsidRPr="00A145C1" w:rsidRDefault="00F14932" w:rsidP="00A145C1">
      <w:pPr>
        <w:ind w:right="47"/>
        <w:jc w:val="both"/>
        <w:rPr>
          <w:rFonts w:ascii="Arial" w:hAnsi="Arial" w:cs="Arial"/>
          <w:color w:val="000000"/>
          <w:sz w:val="16"/>
          <w:szCs w:val="16"/>
        </w:rPr>
      </w:pPr>
    </w:p>
    <w:p w14:paraId="1AD52E1E" w14:textId="3188B0FE" w:rsidR="00C50BF7" w:rsidRPr="00A145C1" w:rsidRDefault="00D53DB9" w:rsidP="00A145C1">
      <w:pPr>
        <w:ind w:right="47"/>
        <w:jc w:val="both"/>
        <w:rPr>
          <w:rFonts w:ascii="Arial" w:hAnsi="Arial" w:cs="Arial"/>
          <w:color w:val="000000"/>
          <w:sz w:val="16"/>
          <w:szCs w:val="16"/>
        </w:rPr>
      </w:pPr>
      <w:r w:rsidRPr="00A145C1">
        <w:rPr>
          <w:rFonts w:ascii="Arial" w:hAnsi="Arial" w:cs="Arial"/>
          <w:color w:val="000000"/>
          <w:sz w:val="16"/>
          <w:szCs w:val="16"/>
        </w:rPr>
        <w:t>CMV</w:t>
      </w:r>
      <w:r w:rsidR="00BB7E64" w:rsidRPr="00A145C1">
        <w:rPr>
          <w:rFonts w:ascii="Arial" w:hAnsi="Arial" w:cs="Arial"/>
          <w:color w:val="000000"/>
          <w:sz w:val="16"/>
          <w:szCs w:val="16"/>
        </w:rPr>
        <w:t>/</w:t>
      </w:r>
      <w:r w:rsidR="00BA5836" w:rsidRPr="00A145C1">
        <w:rPr>
          <w:rFonts w:ascii="Arial" w:hAnsi="Arial" w:cs="Arial"/>
          <w:color w:val="000000"/>
          <w:sz w:val="16"/>
          <w:szCs w:val="16"/>
        </w:rPr>
        <w:t>SRP</w:t>
      </w:r>
    </w:p>
    <w:sectPr w:rsidR="00C50BF7" w:rsidRPr="00A145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7"/>
    <w:lvlOverride w:ilvl="0">
      <w:startOverride w:val="3"/>
    </w:lvlOverride>
  </w:num>
  <w:num w:numId="4">
    <w:abstractNumId w:val="8"/>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9"/>
    <w:lvlOverride w:ilvl="0">
      <w:startOverride w:val="8"/>
    </w:lvlOverride>
  </w:num>
  <w:num w:numId="9">
    <w:abstractNumId w:val="3"/>
    <w:lvlOverride w:ilvl="0">
      <w:startOverride w:val="9"/>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A3290"/>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5C1"/>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26A442-4F72-4DB3-A511-C1CC11A34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4252</Words>
  <Characters>23527</Characters>
  <Application>Microsoft Office Word</Application>
  <DocSecurity>0</DocSecurity>
  <Lines>196</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2021-05-14T20:01:00Z</dcterms:created>
  <dcterms:modified xsi:type="dcterms:W3CDTF">2021-05-14T20:07:00Z</dcterms:modified>
</cp:coreProperties>
</file>