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091/2020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221/2019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PROCESSO:0020.227655-2018-22</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FARQUAR N° 2986 COMPLEXO RIO MADEIRA EDIFÍCIO, RIO PACAÁS NOVOS 2º ANDAR – BAIRRO: PEDRINHAS</w:t>
      </w:r>
      <w:r w:rsidDel="00000000" w:rsidR="00000000" w:rsidRPr="00000000">
        <w:rPr>
          <w:rFonts w:ascii="Arial" w:cs="Arial" w:eastAsia="Arial" w:hAnsi="Arial"/>
          <w:color w:val="000000"/>
          <w:sz w:val="16"/>
          <w:szCs w:val="16"/>
          <w:rtl w:val="0"/>
        </w:rPr>
        <w:t xml:space="preserve">, neste ato representado pelo </w:t>
      </w:r>
      <w:r w:rsidDel="00000000" w:rsidR="00000000" w:rsidRPr="00000000">
        <w:rPr>
          <w:rFonts w:ascii="Arial" w:cs="Arial" w:eastAsia="Arial" w:hAnsi="Arial"/>
          <w:b w:val="1"/>
          <w:color w:val="000000"/>
          <w:sz w:val="16"/>
          <w:szCs w:val="16"/>
          <w:rtl w:val="0"/>
        </w:rPr>
        <w:t xml:space="preserve">Superintendente da SUPEL</w:t>
      </w:r>
      <w:r w:rsidDel="00000000" w:rsidR="00000000" w:rsidRPr="00000000">
        <w:rPr>
          <w:rFonts w:ascii="Arial" w:cs="Arial" w:eastAsia="Arial" w:hAnsi="Arial"/>
          <w:color w:val="000000"/>
          <w:sz w:val="16"/>
          <w:szCs w:val="16"/>
          <w:rtl w:val="0"/>
        </w:rPr>
        <w:t xml:space="preserve">,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 O </w:t>
      </w:r>
      <w:r w:rsidDel="00000000" w:rsidR="00000000" w:rsidRPr="00000000">
        <w:rPr>
          <w:rFonts w:ascii="Arial" w:cs="Arial" w:eastAsia="Arial" w:hAnsi="Arial"/>
          <w:b w:val="1"/>
          <w:sz w:val="16"/>
          <w:szCs w:val="16"/>
          <w:rtl w:val="0"/>
        </w:rPr>
        <w:t xml:space="preserve">PREÇO:</w:t>
      </w:r>
      <w:r w:rsidDel="00000000" w:rsidR="00000000" w:rsidRPr="00000000">
        <w:rPr>
          <w:rFonts w:ascii="Arial" w:cs="Arial" w:eastAsia="Arial" w:hAnsi="Arial"/>
          <w:sz w:val="16"/>
          <w:szCs w:val="16"/>
          <w:rtl w:val="0"/>
        </w:rPr>
        <w:t xml:space="preserve"> para Futura e Eventual aquisição eventual aquisição de materiais de consumo (expediente, limpeza, gênero alimentício, copa e cozinha e processamento de dados), através do REGISTRO DE PREÇOS, a serem utilizados pela Procuradoria Geral do Estado de Rondônia - PGE.</w:t>
      </w:r>
      <w:r w:rsidDel="00000000" w:rsidR="00000000" w:rsidRPr="00000000">
        <w:rPr>
          <w:rFonts w:ascii="Arial" w:cs="Arial" w:eastAsia="Arial" w:hAnsi="Arial"/>
          <w:color w:val="000000"/>
          <w:sz w:val="16"/>
          <w:szCs w:val="16"/>
          <w:rtl w:val="0"/>
        </w:rPr>
        <w:t xml:space="preserve"> para o período de 12 meses,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 DO OBJETO </w:t>
      </w:r>
      <w:r w:rsidDel="00000000" w:rsidR="00000000" w:rsidRPr="00000000">
        <w:rPr>
          <w:rFonts w:ascii="Arial" w:cs="Arial" w:eastAsia="Arial" w:hAnsi="Arial"/>
          <w:b w:val="1"/>
          <w:sz w:val="16"/>
          <w:szCs w:val="16"/>
          <w:rtl w:val="0"/>
        </w:rPr>
        <w:t xml:space="preserve">eventual aquisição </w:t>
      </w:r>
      <w:r w:rsidDel="00000000" w:rsidR="00000000" w:rsidRPr="00000000">
        <w:rPr>
          <w:rFonts w:ascii="Arial" w:cs="Arial" w:eastAsia="Arial" w:hAnsi="Arial"/>
          <w:sz w:val="16"/>
          <w:szCs w:val="16"/>
          <w:rtl w:val="0"/>
        </w:rPr>
        <w:t xml:space="preserve">de materiais de consumo (expediente, limpeza, gênero alimentício, copa e cozinha e processamento de dados), através do REGISTRO DE PREÇOS, a serem utilizados pela Procuradoria Geral do Estado de Rondônia - PGE.</w:t>
      </w:r>
    </w:p>
    <w:p w:rsidR="00000000" w:rsidDel="00000000" w:rsidP="00000000" w:rsidRDefault="00000000" w:rsidRPr="00000000" w14:paraId="0000000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 entrega do objeto será realizada de acordo com as necessidades da Procuradoria Geral do Estado do Estado de Rondônia, no prazo de 30 dias contados a partir do recebimento do empenho, respeitadas as quantidades indicadas em cada solicitação;</w:t>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 DE ENTREGA:O material deverá ser entregue na Superintendência Estadual de Patrimônio e Regularização Fundiária - SEPAT, sito a Rua Antônio Lacerda n. 4138 - Bairro. Setor Indústrial - Porto Velho - RO, dentro do horário de expediente, das 07h30min às 13h30min de segunda a sexta-feira, nos dias úteis;</w:t>
      </w:r>
    </w:p>
    <w:p w:rsidR="00000000" w:rsidDel="00000000" w:rsidP="00000000" w:rsidRDefault="00000000" w:rsidRPr="00000000" w14:paraId="0000002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6.5. Para entrega é necessária realização de prévio agendamento junto ao CAF-II, informações através do e-mail: cafii.requisicao@gmail.com ou pelos telefones: (69) 3216-5759/3216-5580.</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w:t>
      </w: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Sem prejuízo das sanções cominadas no art. 87, I, III e IV, da Lei nº 8.666/93, pela inexecução total ou parcial do instrumento de contrato, a Contratante poderá, garantida a prévia e ampla defesa, aplicar à Contratada multa (</w:t>
      </w:r>
      <w:r w:rsidDel="00000000" w:rsidR="00000000" w:rsidRPr="00000000">
        <w:rPr>
          <w:rFonts w:ascii="Arial" w:cs="Arial" w:eastAsia="Arial" w:hAnsi="Arial"/>
          <w:b w:val="1"/>
          <w:sz w:val="16"/>
          <w:szCs w:val="16"/>
          <w:rtl w:val="0"/>
        </w:rPr>
        <w:t xml:space="preserve">Tabela – Item 9.11</w:t>
      </w:r>
      <w:r w:rsidDel="00000000" w:rsidR="00000000" w:rsidRPr="00000000">
        <w:rPr>
          <w:rFonts w:ascii="Arial" w:cs="Arial" w:eastAsia="Arial" w:hAnsi="Arial"/>
          <w:sz w:val="16"/>
          <w:szCs w:val="16"/>
          <w:rtl w:val="0"/>
        </w:rPr>
        <w:t xml:space="preserve">), sobre a parcela inadimplida do contrato.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São exemplos de infração administrativa penalizáveis, nos termos da Lei nº 8.666, de 1993, da Lei nº 10.520, de 2002, dos Decretos Estaduais nº 12.205/06 e 12.234/06 (Pregão Eletrônico e Presencial):</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 </w:t>
      </w: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Para efeito de aplicação de multas, às infrações são atribuídos graus, com percentuais de multa conforme a tabela a seguir, que elenca apenas as principais situações previstas, não eximindo de outras equivalentes que surgirem, conforme o caso:</w:t>
      </w:r>
    </w:p>
    <w:p w:rsidR="00000000" w:rsidDel="00000000" w:rsidP="00000000" w:rsidRDefault="00000000" w:rsidRPr="00000000" w14:paraId="00000044">
      <w:pPr>
        <w:spacing w:after="240" w:before="240" w:lineRule="auto"/>
        <w:jc w:val="both"/>
        <w:rPr>
          <w:rFonts w:ascii="Arial" w:cs="Arial" w:eastAsia="Arial" w:hAnsi="Arial"/>
          <w:sz w:val="16"/>
          <w:szCs w:val="16"/>
        </w:rPr>
      </w:pPr>
      <w:r w:rsidDel="00000000" w:rsidR="00000000" w:rsidRPr="00000000">
        <w:rPr>
          <w:rtl w:val="0"/>
        </w:rPr>
      </w:r>
    </w:p>
    <w:tbl>
      <w:tblPr>
        <w:tblStyle w:val="Table1"/>
        <w:tblW w:w="10946.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56.8181818181819"/>
        <w:gridCol w:w="8041.1"/>
        <w:gridCol w:w="704.2181818181818"/>
        <w:gridCol w:w="1243.8636363636365"/>
        <w:tblGridChange w:id="0">
          <w:tblGrid>
            <w:gridCol w:w="956.8181818181819"/>
            <w:gridCol w:w="8041.1"/>
            <w:gridCol w:w="704.2181818181818"/>
            <w:gridCol w:w="1243.8636363636365"/>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numPr>
                <w:ilvl w:val="0"/>
                <w:numId w:val="1"/>
              </w:numPr>
              <w:spacing w:after="240" w:before="240" w:lineRule="auto"/>
              <w:ind w:left="720" w:hanging="36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Executar a entrega incompleta,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numPr>
                <w:ilvl w:val="0"/>
                <w:numId w:val="3"/>
              </w:numPr>
              <w:spacing w:after="240" w:before="240" w:lineRule="auto"/>
              <w:ind w:left="720" w:hanging="36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as determinações feitas pela FISCALIZAÇÃO, sem motivo justificado;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numPr>
                <w:ilvl w:val="0"/>
                <w:numId w:val="4"/>
              </w:numPr>
              <w:spacing w:after="240" w:before="240" w:lineRule="auto"/>
              <w:ind w:left="720" w:hanging="36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fornecimentos dos bens adquiridos, por dia e por unidade de atendimento;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4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numPr>
                <w:ilvl w:val="0"/>
                <w:numId w:val="5"/>
              </w:numPr>
              <w:spacing w:after="240" w:before="240" w:lineRule="auto"/>
              <w:ind w:left="720" w:hanging="36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numPr>
                <w:ilvl w:val="0"/>
                <w:numId w:val="2"/>
              </w:numPr>
              <w:spacing w:after="240" w:before="240" w:lineRule="auto"/>
              <w:ind w:left="720" w:hanging="36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danos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dia</w:t>
            </w:r>
          </w:p>
        </w:tc>
      </w:tr>
      <w:tr>
        <w:trPr>
          <w:trHeight w:val="74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numPr>
                <w:ilvl w:val="0"/>
                <w:numId w:val="6"/>
              </w:numPr>
              <w:spacing w:after="240" w:before="240" w:lineRule="auto"/>
              <w:ind w:left="720" w:hanging="36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do contrato;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0">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10 %</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1">
            <w:pPr>
              <w:spacing w:after="240" w:before="240"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nos prazos estabelecidos, observados os limites mínimos estabelecidos por este Contrato;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Termo de Referência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5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bl>
    <w:p w:rsidR="00000000" w:rsidDel="00000000" w:rsidP="00000000" w:rsidRDefault="00000000" w:rsidRPr="00000000" w14:paraId="00000079">
      <w:pPr>
        <w:spacing w:after="240" w:before="240" w:lineRule="auto"/>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 sobre a parte inadimplida.</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r w:rsidDel="00000000" w:rsidR="00000000" w:rsidRPr="00000000">
        <w:rPr>
          <w:rFonts w:ascii="Arial" w:cs="Arial" w:eastAsia="Arial" w:hAnsi="Arial"/>
          <w:sz w:val="16"/>
          <w:szCs w:val="16"/>
          <w:rtl w:val="0"/>
        </w:rPr>
        <w:t xml:space="preserve">.12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Após 30 (trinta) dias da falta de execução do objeto, será considerada inexecução total do contrato, o que ensejará a rescisão contratual.</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será obrigatoriamente registrada no Sistema de Cadastramento Unificado de Fornecedores - SICAF, bem como em sistemas Estaduais.</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w:t>
      </w: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8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 </w:t>
      </w: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8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 </w:t>
      </w: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8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 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9.22 T</w:t>
      </w:r>
      <w:r w:rsidDel="00000000" w:rsidR="00000000" w:rsidRPr="00000000">
        <w:rPr>
          <w:rFonts w:ascii="Arial" w:cs="Arial" w:eastAsia="Arial" w:hAnsi="Arial"/>
          <w:b w:val="1"/>
          <w:sz w:val="16"/>
          <w:szCs w:val="16"/>
          <w:rtl w:val="0"/>
        </w:rPr>
        <w:t xml:space="preserve">ratando-se de sanção do art. 7° da Lei do Pregão, os seus efeitos recaem apenas na esfera administrativa do órgão que a aplicou".</w:t>
      </w:r>
    </w:p>
    <w:p w:rsidR="00000000" w:rsidDel="00000000" w:rsidP="00000000" w:rsidRDefault="00000000" w:rsidRPr="00000000" w14:paraId="00000088">
      <w:pPr>
        <w:spacing w:after="80" w:before="80" w:lineRule="auto"/>
        <w:ind w:lef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9">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B">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C">
      <w:pPr>
        <w:ind w:right="47"/>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w:t>
      </w:r>
      <w:r w:rsidDel="00000000" w:rsidR="00000000" w:rsidRPr="00000000">
        <w:rPr>
          <w:rFonts w:ascii="Arial" w:cs="Arial" w:eastAsia="Arial" w:hAnsi="Arial"/>
          <w:sz w:val="16"/>
          <w:szCs w:val="16"/>
          <w:rtl w:val="0"/>
        </w:rPr>
        <w:t xml:space="preserve">50</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dos quantitativos dos itens do instrumento convocatório e registrados na ata de registro de preços para o órgão gerenciador e órgãos participantes.</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w:t>
      </w:r>
      <w:r w:rsidDel="00000000" w:rsidR="00000000" w:rsidRPr="00000000">
        <w:rPr>
          <w:rFonts w:ascii="Arial" w:cs="Arial" w:eastAsia="Arial" w:hAnsi="Arial"/>
          <w:sz w:val="16"/>
          <w:szCs w:val="16"/>
          <w:rtl w:val="0"/>
        </w:rPr>
        <w:t xml:space="preserve">dobr</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2">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C">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PGE - Procuradoria Geral do Estado de Rondônia </w:t>
      </w:r>
    </w:p>
    <w:p w:rsidR="00000000" w:rsidDel="00000000" w:rsidP="00000000" w:rsidRDefault="00000000" w:rsidRPr="00000000" w14:paraId="000000B3">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A">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D">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E">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b w:val="1"/>
          <w:sz w:val="16"/>
          <w:szCs w:val="16"/>
          <w:rtl w:val="0"/>
        </w:rPr>
        <w:t xml:space="preserve">         Marcio Rogerio Gabriel</w:t>
      </w:r>
      <w:r w:rsidDel="00000000" w:rsidR="00000000" w:rsidRPr="00000000">
        <w:rPr>
          <w:rFonts w:ascii="Arial" w:cs="Arial" w:eastAsia="Arial" w:hAnsi="Arial"/>
          <w:b w:val="1"/>
          <w:color w:val="000000"/>
          <w:sz w:val="16"/>
          <w:szCs w:val="16"/>
          <w:rtl w:val="0"/>
        </w:rPr>
        <w:tab/>
        <w:tab/>
        <w:tab/>
        <w:tab/>
        <w:t xml:space="preserve">Marcia Carvalho Guedes</w:t>
      </w:r>
    </w:p>
    <w:p w:rsidR="00000000" w:rsidDel="00000000" w:rsidP="00000000" w:rsidRDefault="00000000" w:rsidRPr="00000000" w14:paraId="000000BF">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Superintendente Estadual de Licitação</w:t>
      </w:r>
      <w:r w:rsidDel="00000000" w:rsidR="00000000" w:rsidRPr="00000000">
        <w:rPr>
          <w:rFonts w:ascii="Arial" w:cs="Arial" w:eastAsia="Arial" w:hAnsi="Arial"/>
          <w:color w:val="000000"/>
          <w:sz w:val="16"/>
          <w:szCs w:val="16"/>
          <w:rtl w:val="0"/>
        </w:rPr>
        <w:tab/>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Coordenadora do Registro de Preços</w:t>
      </w:r>
    </w:p>
    <w:p w:rsidR="00000000" w:rsidDel="00000000" w:rsidP="00000000" w:rsidRDefault="00000000" w:rsidRPr="00000000" w14:paraId="000000C0">
      <w:pPr>
        <w:ind w:right="47"/>
        <w:jc w:val="cente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4">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5">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zUzY+3DB/rgEvmmgwMISmn8Kxg==">AMUW2mXNYPQIm7fbuM1rNRRhONqiyoWeATEUGHdtuVntMH22sQ1PQaMRnvv5FrtNEvEMOa7VjNsCw2VxpTmh7gHS1u+cgACY4BS6XOB6u9JUNFYYN1hmL+h++OYU7AO4W920vlwmkULjcI3nlg4RnklbWHXT9hTHWg==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2018-03-23T13:23:00Z</dcterms:created>
  <dc:creator>SESAU</dc:creator>
</cp:coreProperties>
</file>