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083/2020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010/2019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PROCESSO:0036.168886/2018-18</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FARQUAR N° 2986 COMPLEXO RIO MADEIRA EDIFÍCIO, RIO PACAÁS NOVOS 2º ANDAR – BAIRRO: PEDRINHAS</w:t>
      </w:r>
      <w:r w:rsidDel="00000000" w:rsidR="00000000" w:rsidRPr="00000000">
        <w:rPr>
          <w:rFonts w:ascii="Arial" w:cs="Arial" w:eastAsia="Arial" w:hAnsi="Arial"/>
          <w:color w:val="000000"/>
          <w:sz w:val="16"/>
          <w:szCs w:val="16"/>
          <w:rtl w:val="0"/>
        </w:rPr>
        <w:t xml:space="preserve">, neste ato representado pelo </w:t>
      </w:r>
      <w:r w:rsidDel="00000000" w:rsidR="00000000" w:rsidRPr="00000000">
        <w:rPr>
          <w:rFonts w:ascii="Arial" w:cs="Arial" w:eastAsia="Arial" w:hAnsi="Arial"/>
          <w:b w:val="1"/>
          <w:color w:val="000000"/>
          <w:sz w:val="16"/>
          <w:szCs w:val="16"/>
          <w:rtl w:val="0"/>
        </w:rPr>
        <w:t xml:space="preserve">Superintendente da SUPEL</w:t>
      </w:r>
      <w:r w:rsidDel="00000000" w:rsidR="00000000" w:rsidRPr="00000000">
        <w:rPr>
          <w:rFonts w:ascii="Arial" w:cs="Arial" w:eastAsia="Arial" w:hAnsi="Arial"/>
          <w:color w:val="000000"/>
          <w:sz w:val="16"/>
          <w:szCs w:val="16"/>
          <w:rtl w:val="0"/>
        </w:rPr>
        <w:t xml:space="preserve">,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 Eventual aquisição </w:t>
      </w:r>
      <w:r w:rsidDel="00000000" w:rsidR="00000000" w:rsidRPr="00000000">
        <w:rPr>
          <w:rFonts w:ascii="Calibri" w:cs="Calibri" w:eastAsia="Calibri" w:hAnsi="Calibri"/>
          <w:sz w:val="24"/>
          <w:szCs w:val="24"/>
          <w:rtl w:val="0"/>
        </w:rPr>
        <w:t xml:space="preserve">eventual e parcelada aquisição de materiais de consumo </w:t>
      </w:r>
      <w:r w:rsidDel="00000000" w:rsidR="00000000" w:rsidRPr="00000000">
        <w:rPr>
          <w:rFonts w:ascii="Calibri" w:cs="Calibri" w:eastAsia="Calibri" w:hAnsi="Calibri"/>
          <w:b w:val="1"/>
          <w:sz w:val="24"/>
          <w:szCs w:val="24"/>
          <w:rtl w:val="0"/>
        </w:rPr>
        <w:t xml:space="preserve">("FRACASSADOS DIVERSOS" -  Materiais Hospitalares de Alta Complexidade - Sondas, Sling, Dispositivos de Reparo de Hérnia e outros"</w:t>
      </w:r>
      <w:r w:rsidDel="00000000" w:rsidR="00000000" w:rsidRPr="00000000">
        <w:rPr>
          <w:rFonts w:ascii="Arial" w:cs="Arial" w:eastAsia="Arial" w:hAnsi="Arial"/>
          <w:sz w:val="16"/>
          <w:szCs w:val="16"/>
          <w:rtl w:val="0"/>
        </w:rPr>
        <w:t xml:space="preserve">, a pedido da Secretaria de Estado da Saúde – SESAU</w:t>
      </w:r>
      <w:r w:rsidDel="00000000" w:rsidR="00000000" w:rsidRPr="00000000">
        <w:rPr>
          <w:rFonts w:ascii="Arial" w:cs="Arial" w:eastAsia="Arial" w:hAnsi="Arial"/>
          <w:color w:val="000000"/>
          <w:sz w:val="16"/>
          <w:szCs w:val="16"/>
          <w:rtl w:val="0"/>
        </w:rPr>
        <w:t xml:space="preserve">, para o período de 12 meses,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 DO OBJETO</w:t>
      </w:r>
      <w:r w:rsidDel="00000000" w:rsidR="00000000" w:rsidRPr="00000000">
        <w:rPr>
          <w:rFonts w:ascii="Calibri" w:cs="Calibri" w:eastAsia="Calibri" w:hAnsi="Calibri"/>
          <w:b w:val="1"/>
          <w:sz w:val="24"/>
          <w:szCs w:val="24"/>
          <w:rtl w:val="0"/>
        </w:rPr>
        <w:t xml:space="preserve">eventual e parcelada aquisição de materiais de consumo ("FRACASSADOS DIVERSOS" -  Materiais Hospitalares de Alta Complexidade - Sondas, Sling, Dispositivos de Reparo de Hérnia e outros"</w:t>
      </w:r>
      <w:r w:rsidDel="00000000" w:rsidR="00000000" w:rsidRPr="00000000">
        <w:rPr>
          <w:rFonts w:ascii="Arial" w:cs="Arial" w:eastAsia="Arial" w:hAnsi="Arial"/>
          <w:sz w:val="16"/>
          <w:szCs w:val="16"/>
          <w:rtl w:val="0"/>
        </w:rPr>
        <w:t xml:space="preserve">, a pedido da Secretaria de Estado da Saúde – SESAU.</w:t>
      </w:r>
    </w:p>
    <w:p w:rsidR="00000000" w:rsidDel="00000000" w:rsidP="00000000" w:rsidRDefault="00000000" w:rsidRPr="00000000" w14:paraId="0000000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sz w:val="16"/>
          <w:szCs w:val="16"/>
        </w:rPr>
      </w:pPr>
      <w:r w:rsidDel="00000000" w:rsidR="00000000" w:rsidRPr="00000000">
        <w:rPr>
          <w:b w:val="1"/>
          <w:sz w:val="16"/>
          <w:szCs w:val="16"/>
          <w:rtl w:val="0"/>
        </w:rPr>
        <w:t xml:space="preserve">6.1.</w:t>
      </w:r>
      <w:r w:rsidDel="00000000" w:rsidR="00000000" w:rsidRPr="00000000">
        <w:rPr>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Calibri" w:cs="Calibri" w:eastAsia="Calibri" w:hAnsi="Calibri"/>
          <w:sz w:val="24"/>
          <w:szCs w:val="24"/>
          <w:rtl w:val="0"/>
        </w:rPr>
        <w:t xml:space="preserve">A entrega deverá ocorrer conforme solicitação via requisição da Secretaria de Saúde com definição da quantidade no prazo de </w:t>
      </w:r>
      <w:r w:rsidDel="00000000" w:rsidR="00000000" w:rsidRPr="00000000">
        <w:rPr>
          <w:rFonts w:ascii="Calibri" w:cs="Calibri" w:eastAsia="Calibri" w:hAnsi="Calibri"/>
          <w:b w:val="1"/>
          <w:sz w:val="24"/>
          <w:szCs w:val="24"/>
          <w:rtl w:val="0"/>
        </w:rPr>
        <w:t xml:space="preserve">até 30 dias corridos após o recebimento da Nota de Empenho.</w:t>
      </w:r>
      <w:r w:rsidDel="00000000" w:rsidR="00000000" w:rsidRPr="00000000">
        <w:rPr>
          <w:rtl w:val="0"/>
        </w:rPr>
      </w:r>
    </w:p>
    <w:p w:rsidR="00000000" w:rsidDel="00000000" w:rsidP="00000000" w:rsidRDefault="00000000" w:rsidRPr="00000000" w14:paraId="00000025">
      <w:pPr>
        <w:jc w:val="both"/>
        <w:rPr>
          <w:rFonts w:ascii="Calibri" w:cs="Calibri" w:eastAsia="Calibri" w:hAnsi="Calibri"/>
          <w:b w:val="1"/>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 DE ENTREGA:</w:t>
      </w:r>
      <w:r w:rsidDel="00000000" w:rsidR="00000000" w:rsidRPr="00000000">
        <w:rPr>
          <w:rFonts w:ascii="Calibri" w:cs="Calibri" w:eastAsia="Calibri" w:hAnsi="Calibri"/>
          <w:b w:val="1"/>
          <w:sz w:val="16"/>
          <w:szCs w:val="16"/>
          <w:rtl w:val="0"/>
        </w:rPr>
        <w:t xml:space="preserve">Os materiais, deverão ser entregues na Central de Abastecimento Farmacêutico de Materiais Hospitalare - CAF II, sito à Rua Aparício Moraes n° 4378, Bairro Industrial, CEP: 76821-240 – Porto Velho/RO. Os dias de funcionamento/expediente são de: segunda-feira a sexta-feira das 07h30 às 13h30h.</w:t>
      </w:r>
    </w:p>
    <w:p w:rsidR="00000000" w:rsidDel="00000000" w:rsidP="00000000" w:rsidRDefault="00000000" w:rsidRPr="00000000" w14:paraId="00000026">
      <w:pPr>
        <w:spacing w:after="120" w:before="120" w:lineRule="auto"/>
        <w:ind w:left="0" w:right="120" w:firstLine="0"/>
        <w:jc w:val="both"/>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6.5. Para entrega é necessária realização de prévio agendamento junto ao CAF-II, informações através do e-mail: cafii.requisicao@gmail.com ou pelos telefones: (69) 3216-5759/3216-5580.</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w:t>
      </w: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15.1 - </w:t>
      </w:r>
      <w:r w:rsidDel="00000000" w:rsidR="00000000" w:rsidRPr="00000000">
        <w:rPr>
          <w:rFonts w:ascii="Arial" w:cs="Arial" w:eastAsia="Arial" w:hAnsi="Arial"/>
          <w:sz w:val="16"/>
          <w:szCs w:val="16"/>
          <w:rtl w:val="0"/>
        </w:rPr>
        <w:t xml:space="preserve">Sem prejuízo das sanções cominadas no artigo 87, I, III e IV, da Lei nº 8.666/93, pela inexecução total ou parcial do contrato, a Administração poderá, garantida a prévia e ampla defesa, aplicar à Contratada multa de até 1 % (um por cento) sobre a parcela inadimplida.</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Del="00000000" w:rsidR="00000000" w:rsidRPr="00000000">
        <w:rPr>
          <w:rFonts w:ascii="Arial" w:cs="Arial" w:eastAsia="Arial" w:hAnsi="Arial"/>
          <w:b w:val="1"/>
          <w:sz w:val="16"/>
          <w:szCs w:val="16"/>
          <w:rtl w:val="0"/>
        </w:rPr>
        <w:t xml:space="preserve">CAGEFIMP (Cadastro de Fornecedores Impedidos de Licitar e Contratar com a Administração Pública Estadual – CAGEFIMP, nos termos da Lei nº. 2.414, de 18, de fevereiro de 2011 e Decreto nº.16089, DE 28 DE JULHO DE 2011).</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 8.666, de 1993, da Lei n° 10.520, de 2002, do Decreto Estadual n° 12.205/06 e do Decreto Estadual n° 12.234/06: </w:t>
      </w:r>
    </w:p>
    <w:p w:rsidR="00000000" w:rsidDel="00000000" w:rsidP="00000000" w:rsidRDefault="00000000" w:rsidRPr="00000000" w14:paraId="0000003C">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Inexecução total ou parcial do contrato;</w:t>
      </w:r>
    </w:p>
    <w:p w:rsidR="00000000" w:rsidDel="00000000" w:rsidP="00000000" w:rsidRDefault="00000000" w:rsidRPr="00000000" w14:paraId="0000003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Apresentação de documentação falsa;</w:t>
      </w:r>
    </w:p>
    <w:p w:rsidR="00000000" w:rsidDel="00000000" w:rsidP="00000000" w:rsidRDefault="00000000" w:rsidRPr="00000000" w14:paraId="0000003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Comportamento inidôneo;</w:t>
      </w:r>
    </w:p>
    <w:p w:rsidR="00000000" w:rsidDel="00000000" w:rsidP="00000000" w:rsidRDefault="00000000" w:rsidRPr="00000000" w14:paraId="0000003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Fraude fiscal;</w:t>
      </w:r>
    </w:p>
    <w:p w:rsidR="00000000" w:rsidDel="00000000" w:rsidP="00000000" w:rsidRDefault="00000000" w:rsidRPr="00000000" w14:paraId="00000040">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 Descumprimento de qualquer dos deveres elencados no Edital ou no Contrato.</w:t>
      </w:r>
      <w:r w:rsidDel="00000000" w:rsidR="00000000" w:rsidRPr="00000000">
        <w:rPr>
          <w:rtl w:val="0"/>
        </w:rPr>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sanção será obrigatoriamente registrada no Sistema de Cadastramento Unificado de Fornecedores – SICAF, bem como em sistemas Estaduais.</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4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4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4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4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4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Cobrança pelo Estado, por via administrativa ou judicial, de multa equivalente a 1% (um por cento) do valor estimado pelo item ofertado.</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4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000000" w:rsidDel="00000000" w:rsidP="00000000" w:rsidRDefault="00000000" w:rsidRPr="00000000" w14:paraId="0000004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4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5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5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9.20. As penalidades são independentes e a aplicação de uma não exclui a das demais, quando cabíveis.</w:t>
      </w:r>
    </w:p>
    <w:p w:rsidR="00000000" w:rsidDel="00000000" w:rsidP="00000000" w:rsidRDefault="00000000" w:rsidRPr="00000000" w14:paraId="0000005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9.21.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 Desclassificação, se a seleção se encontrar em fase de julgamento;</w:t>
      </w:r>
    </w:p>
    <w:p w:rsidR="00000000" w:rsidDel="00000000" w:rsidP="00000000" w:rsidRDefault="00000000" w:rsidRPr="00000000" w14:paraId="0000005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9.23. Cancelamento do preço registrado, procedendo-se à paralisação do fornecimento.</w:t>
      </w:r>
    </w:p>
    <w:p w:rsidR="00000000" w:rsidDel="00000000" w:rsidP="00000000" w:rsidRDefault="00000000" w:rsidRPr="00000000" w14:paraId="0000005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9.24. O preço registrado poderá ser cancelado pela Administração Pública, nos termos do Artigo 24 e 25 do Decreto 18.340/13, quando: </w:t>
      </w:r>
    </w:p>
    <w:p w:rsidR="00000000" w:rsidDel="00000000" w:rsidP="00000000" w:rsidRDefault="00000000" w:rsidRPr="00000000" w14:paraId="0000005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 Detentora do Registro deixar de cumprir total ou parcial as condições da Ata de Registro de Preços.</w:t>
      </w:r>
    </w:p>
    <w:p w:rsidR="00000000" w:rsidDel="00000000" w:rsidP="00000000" w:rsidRDefault="00000000" w:rsidRPr="00000000" w14:paraId="0000005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 Detentora do Registro não retirar a nota de empenho ou instrumento equivalente no prazo estabelecido, sem justificativa aceita pela Administração;</w:t>
      </w:r>
    </w:p>
    <w:p w:rsidR="00000000" w:rsidDel="00000000" w:rsidP="00000000" w:rsidRDefault="00000000" w:rsidRPr="00000000" w14:paraId="0000005C">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 detentora incorrer reiteradamente em infrações previstas no Edital;</w:t>
      </w:r>
    </w:p>
    <w:p w:rsidR="00000000" w:rsidDel="00000000" w:rsidP="00000000" w:rsidRDefault="00000000" w:rsidRPr="00000000" w14:paraId="0000005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A Detentora do Registro que praticar atos fraudulentos no intuito de auferir vantagem ilícita;</w:t>
      </w:r>
    </w:p>
    <w:p w:rsidR="00000000" w:rsidDel="00000000" w:rsidP="00000000" w:rsidRDefault="00000000" w:rsidRPr="00000000" w14:paraId="0000005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5F">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f) Por razões de interesse público, mediante despacho motivado, devidamente justificado.</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9.25. O cancelamento do registro nas hipóteses do parágrafo acima,</w:t>
      </w:r>
      <w:r w:rsidDel="00000000" w:rsidR="00000000" w:rsidRPr="00000000">
        <w:rPr>
          <w:rFonts w:ascii="Arial" w:cs="Arial" w:eastAsia="Arial" w:hAnsi="Arial"/>
          <w:b w:val="1"/>
          <w:sz w:val="16"/>
          <w:szCs w:val="16"/>
          <w:rtl w:val="0"/>
        </w:rPr>
        <w:t xml:space="preserve"> alíneas: "a, b, c, d, e, f"</w:t>
      </w:r>
      <w:r w:rsidDel="00000000" w:rsidR="00000000" w:rsidRPr="00000000">
        <w:rPr>
          <w:rFonts w:ascii="Arial" w:cs="Arial" w:eastAsia="Arial" w:hAnsi="Arial"/>
          <w:sz w:val="16"/>
          <w:szCs w:val="16"/>
          <w:rtl w:val="0"/>
        </w:rPr>
        <w:t xml:space="preserve">, será formalizado por despacho do órgão gerenciador, assegurado o contraditório e a ampla defesa.</w:t>
      </w:r>
    </w:p>
    <w:p w:rsidR="00000000" w:rsidDel="00000000" w:rsidP="00000000" w:rsidRDefault="00000000" w:rsidRPr="00000000" w14:paraId="0000006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9.26. O cancelamento do registro nas hipóteses do parágrafo acima, </w:t>
      </w:r>
      <w:r w:rsidDel="00000000" w:rsidR="00000000" w:rsidRPr="00000000">
        <w:rPr>
          <w:rFonts w:ascii="Arial" w:cs="Arial" w:eastAsia="Arial" w:hAnsi="Arial"/>
          <w:b w:val="1"/>
          <w:sz w:val="16"/>
          <w:szCs w:val="16"/>
          <w:rtl w:val="0"/>
        </w:rPr>
        <w:t xml:space="preserve">alíneas: "a, b, c, d, e"</w:t>
      </w:r>
      <w:r w:rsidDel="00000000" w:rsidR="00000000" w:rsidRPr="00000000">
        <w:rPr>
          <w:rFonts w:ascii="Arial" w:cs="Arial" w:eastAsia="Arial" w:hAnsi="Arial"/>
          <w:sz w:val="16"/>
          <w:szCs w:val="16"/>
          <w:rtl w:val="0"/>
        </w:rPr>
        <w:t xml:space="preserve">, acarretará ainda a aplicação das penalidades cabíveis, assegurado o contraditório e a ampla defesa.</w:t>
      </w:r>
    </w:p>
    <w:p w:rsidR="00000000" w:rsidDel="00000000" w:rsidP="00000000" w:rsidRDefault="00000000" w:rsidRPr="00000000" w14:paraId="0000006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9.27. 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6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Por razões de interesse público;</w:t>
      </w:r>
    </w:p>
    <w:p w:rsidR="00000000" w:rsidDel="00000000" w:rsidP="00000000" w:rsidRDefault="00000000" w:rsidRPr="00000000" w14:paraId="0000006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 pedido do fornecedor, desde que devidamente fundamentado e justificando e estando em consonância com a legislação vigente.</w:t>
      </w:r>
    </w:p>
    <w:p w:rsidR="00000000" w:rsidDel="00000000" w:rsidP="00000000" w:rsidRDefault="00000000" w:rsidRPr="00000000" w14:paraId="0000006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9.28.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9.29.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9.30. Após 30 (trinta) dias da falta de execução do objeto será considerada inexecução total do contrato, o que ensejara a rescisão contratual.</w:t>
      </w:r>
    </w:p>
    <w:p w:rsidR="00000000" w:rsidDel="00000000" w:rsidP="00000000" w:rsidRDefault="00000000" w:rsidRPr="00000000" w14:paraId="0000006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9.31.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le1"/>
        <w:tblW w:w="96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935"/>
        <w:gridCol w:w="890"/>
        <w:gridCol w:w="995"/>
        <w:tblGridChange w:id="0">
          <w:tblGrid>
            <w:gridCol w:w="830"/>
            <w:gridCol w:w="693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9D">
      <w:pPr>
        <w:ind w:left="60" w:right="60" w:firstLine="0"/>
        <w:jc w:val="center"/>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w:t>
      </w:r>
    </w:p>
    <w:p w:rsidR="00000000" w:rsidDel="00000000" w:rsidP="00000000" w:rsidRDefault="00000000" w:rsidRPr="00000000" w14:paraId="0000009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9.32. </w:t>
      </w:r>
      <w:r w:rsidDel="00000000" w:rsidR="00000000" w:rsidRPr="00000000">
        <w:rPr>
          <w:rFonts w:ascii="Arial" w:cs="Arial" w:eastAsia="Arial" w:hAnsi="Arial"/>
          <w:sz w:val="16"/>
          <w:szCs w:val="16"/>
          <w:rtl w:val="0"/>
        </w:rPr>
        <w:t xml:space="preserve">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w:t>
      </w:r>
    </w:p>
    <w:p w:rsidR="00000000" w:rsidDel="00000000" w:rsidP="00000000" w:rsidRDefault="00000000" w:rsidRPr="00000000" w14:paraId="0000009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advertência;</w:t>
      </w:r>
    </w:p>
    <w:p w:rsidR="00000000" w:rsidDel="00000000" w:rsidP="00000000" w:rsidRDefault="00000000" w:rsidRPr="00000000" w14:paraId="000000A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w:t>
      </w:r>
    </w:p>
    <w:p w:rsidR="00000000" w:rsidDel="00000000" w:rsidP="00000000" w:rsidRDefault="00000000" w:rsidRPr="00000000" w14:paraId="000000A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suspensão temporária do direito de licitar, de contratar com a Administração pelo prazo de até 02 (dois) anos;</w:t>
      </w:r>
    </w:p>
    <w:p w:rsidR="00000000" w:rsidDel="00000000" w:rsidP="00000000" w:rsidRDefault="00000000" w:rsidRPr="00000000" w14:paraId="000000A2">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 declaração de inidoneidade para licitar e contratar com a Administração Pública enquanto perdurarem os motivos determinantes da punição ou até que seja promovida a reabilitação perante a própria autoridade que aplicou a penalidade.</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5">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6">
      <w:pPr>
        <w:ind w:right="47"/>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w:t>
      </w:r>
      <w:r w:rsidDel="00000000" w:rsidR="00000000" w:rsidRPr="00000000">
        <w:rPr>
          <w:rFonts w:ascii="Arial" w:cs="Arial" w:eastAsia="Arial" w:hAnsi="Arial"/>
          <w:sz w:val="16"/>
          <w:szCs w:val="16"/>
          <w:rtl w:val="0"/>
        </w:rPr>
        <w:t xml:space="preserve">50</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dos quantitativos dos itens do instrumento convocatório e registrados na ata de registro de preços para o órgão gerenciador e órgãos participantes.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w:t>
      </w:r>
      <w:r w:rsidDel="00000000" w:rsidR="00000000" w:rsidRPr="00000000">
        <w:rPr>
          <w:rFonts w:ascii="Arial" w:cs="Arial" w:eastAsia="Arial" w:hAnsi="Arial"/>
          <w:sz w:val="16"/>
          <w:szCs w:val="16"/>
          <w:rtl w:val="0"/>
        </w:rPr>
        <w:t xml:space="preserve">dobr</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C">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cs="Arial" w:eastAsia="Arial" w:hAnsi="Arial"/>
          <w:sz w:val="16"/>
          <w:szCs w:val="16"/>
        </w:rPr>
      </w:pPr>
      <w:r w:rsidDel="00000000" w:rsidR="00000000" w:rsidRPr="00000000">
        <w:rPr>
          <w:rFonts w:ascii="Arial" w:cs="Arial" w:eastAsia="Arial" w:hAnsi="Arial"/>
          <w:sz w:val="16"/>
          <w:szCs w:val="16"/>
          <w:rtl w:val="0"/>
        </w:rPr>
        <w:t xml:space="preserve">SESAU - Secretaria de Estado da Saúde </w:t>
      </w:r>
    </w:p>
    <w:p w:rsidR="00000000" w:rsidDel="00000000" w:rsidP="00000000" w:rsidRDefault="00000000" w:rsidRPr="00000000" w14:paraId="000000C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      Genean Prestes dos Santos</w:t>
        <w:tab/>
        <w:tab/>
        <w:tab/>
        <w:tab/>
        <w:t xml:space="preserve">Marcia Carvalho Guedes</w:t>
      </w:r>
    </w:p>
    <w:p w:rsidR="00000000" w:rsidDel="00000000" w:rsidP="00000000" w:rsidRDefault="00000000" w:rsidRPr="00000000" w14:paraId="000000D9">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                  Diretora Executiva </w:t>
        <w:tab/>
        <w:tab/>
        <w:tab/>
        <w:tab/>
        <w:t xml:space="preserve">Coordenadora do Registro de Preços</w:t>
      </w:r>
    </w:p>
    <w:p w:rsidR="00000000" w:rsidDel="00000000" w:rsidP="00000000" w:rsidRDefault="00000000" w:rsidRPr="00000000" w14:paraId="000000DA">
      <w:pPr>
        <w:ind w:right="47"/>
        <w:jc w:val="cente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E">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6dmWm+C4b1LxOls4ps1W5Cn3ww==">AMUW2mV4GXsTVIeNjDMpD6GAiT5bR31WJc+YQKA/x0OW0uFi/bzzpeyC2Fbzcm1C7vNo+BZBC5hsn6VZHw9+jMZoCk/DV+E1Te62WIp4OOcoR+hWYkDz/sR/WO4G+jCQxzFa2oj0PYaWsVmxsgx8YgZ7IQ5NPRh6Yw==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2018-03-23T13:23:00Z</dcterms:created>
  <dc:creator>SESAU</dc:creator>
</cp:coreProperties>
</file>