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Pr="00187082" w:rsidRDefault="00531DA4" w:rsidP="00531DA4">
      <w:pPr>
        <w:pStyle w:val="Cabealho"/>
        <w:jc w:val="center"/>
      </w:pPr>
      <w:r w:rsidRPr="00187082">
        <w:rPr>
          <w:noProof/>
        </w:rPr>
        <w:drawing>
          <wp:inline distT="0" distB="0" distL="0" distR="0" wp14:anchorId="23E58F56" wp14:editId="38B89974">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rsidR="00D97096" w:rsidRPr="00D97096" w:rsidRDefault="00D97096" w:rsidP="00D97096">
      <w:pPr>
        <w:spacing w:before="120" w:after="120"/>
        <w:ind w:left="120" w:right="120"/>
        <w:jc w:val="both"/>
        <w:rPr>
          <w:rFonts w:ascii="Arial" w:hAnsi="Arial" w:cs="Arial"/>
          <w:b/>
          <w:bCs/>
          <w:color w:val="000000"/>
          <w:sz w:val="16"/>
          <w:szCs w:val="16"/>
        </w:rPr>
      </w:pPr>
      <w:r w:rsidRPr="00D97096">
        <w:rPr>
          <w:rFonts w:ascii="Arial" w:hAnsi="Arial" w:cs="Arial"/>
          <w:b/>
          <w:bCs/>
          <w:color w:val="000000"/>
          <w:sz w:val="16"/>
          <w:szCs w:val="16"/>
        </w:rPr>
        <w:t>ATA DE REGISTRO DE PREÇOS Nº 071/2021</w:t>
      </w:r>
    </w:p>
    <w:p w:rsidR="00D97096" w:rsidRPr="00D97096" w:rsidRDefault="00D97096" w:rsidP="00D97096">
      <w:pPr>
        <w:spacing w:before="120" w:after="120"/>
        <w:ind w:left="120" w:right="120"/>
        <w:jc w:val="both"/>
        <w:rPr>
          <w:rFonts w:ascii="Arial" w:hAnsi="Arial" w:cs="Arial"/>
          <w:b/>
          <w:bCs/>
          <w:color w:val="000000"/>
          <w:sz w:val="16"/>
          <w:szCs w:val="16"/>
        </w:rPr>
      </w:pPr>
      <w:r w:rsidRPr="00D97096">
        <w:rPr>
          <w:rFonts w:ascii="Arial" w:hAnsi="Arial" w:cs="Arial"/>
          <w:b/>
          <w:bCs/>
          <w:color w:val="000000"/>
          <w:sz w:val="16"/>
          <w:szCs w:val="16"/>
        </w:rPr>
        <w:t>PREGÃO ELETRÔNICO Nº 787/2020</w:t>
      </w:r>
    </w:p>
    <w:p w:rsidR="00D97096" w:rsidRPr="00D97096" w:rsidRDefault="00D97096" w:rsidP="00D97096">
      <w:pPr>
        <w:spacing w:before="120" w:after="120"/>
        <w:ind w:left="120" w:right="120"/>
        <w:jc w:val="both"/>
        <w:rPr>
          <w:rFonts w:ascii="Arial" w:hAnsi="Arial" w:cs="Arial"/>
          <w:b/>
          <w:bCs/>
          <w:color w:val="000000"/>
          <w:sz w:val="16"/>
          <w:szCs w:val="16"/>
        </w:rPr>
      </w:pPr>
      <w:r w:rsidRPr="00D97096">
        <w:rPr>
          <w:rFonts w:ascii="Arial" w:hAnsi="Arial" w:cs="Arial"/>
          <w:b/>
          <w:bCs/>
          <w:color w:val="000000"/>
          <w:sz w:val="16"/>
          <w:szCs w:val="16"/>
        </w:rPr>
        <w:t>PROCESSO Nº 0036.400575/2020-73</w:t>
      </w:r>
    </w:p>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                                                         </w:t>
      </w:r>
    </w:p>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 xml:space="preserve">Pelo presente instrumento, o ESTADO DE RONDÔNIA, através da SUPERINTENDÊNCIA ESTADUAL DE LICITAÇÕES – SUPEL situada à AV. FARQUAR N° 2986 COMPLEXO RIO MADEIRA EDIFÍCIO, RIO PACAÁS NOVOS 2º ANDAR – BAIRRO: PEDRINHAS, neste ato representado pelo Superintendente da SUPEL, Senhor Israel Evangelista da </w:t>
      </w:r>
      <w:proofErr w:type="spellStart"/>
      <w:r w:rsidRPr="00D97096">
        <w:rPr>
          <w:rFonts w:ascii="Arial" w:hAnsi="Arial" w:cs="Arial"/>
          <w:bCs/>
          <w:color w:val="000000"/>
          <w:sz w:val="16"/>
          <w:szCs w:val="16"/>
        </w:rPr>
        <w:t>Silval</w:t>
      </w:r>
      <w:proofErr w:type="spellEnd"/>
      <w:r w:rsidRPr="00D97096">
        <w:rPr>
          <w:rFonts w:ascii="Arial" w:hAnsi="Arial" w:cs="Arial"/>
          <w:bCs/>
          <w:color w:val="000000"/>
          <w:sz w:val="16"/>
          <w:szCs w:val="16"/>
        </w:rPr>
        <w:t xml:space="preserve"> e a(s) empresa(s) qualificada(s) no Anexo Único desta Ata, resolvem REGISTRAR O PREÇO futura e eventual Aquisição de Medicamentos Injetáveis, a pedido da Secretaria de Estado da Saúde - SESAU/RO, por um período de 12 meses,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 </w:t>
      </w:r>
    </w:p>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1. DO OBJETO</w:t>
      </w:r>
    </w:p>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Registro de Preços futura e eventual Aquisição de Medicamentos Injetáveis, a pedido da Secretaria de Estado da Saúde - SESAU/RO.</w:t>
      </w:r>
    </w:p>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 </w:t>
      </w:r>
    </w:p>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2. DA VIGÊNCIA</w:t>
      </w:r>
    </w:p>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2.1. O presente Registro de Preços terá validade de 12 (doze) meses, contados a partir de sua publicação no Diário Oficial do Estado.</w:t>
      </w:r>
    </w:p>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2.1.1. A vigência dos contratos decorrentes do Sistema de Registro de Preços será definida nos instrumentos convocatórios, observado o artigo 57 da Lei 8.666, de 1993, conforme Decreto Estadual nº 18.340/13.</w:t>
      </w:r>
    </w:p>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 </w:t>
      </w:r>
    </w:p>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3. DA GERÊNCIA DA PRESENTE ATA DE REGISTRO DE PREÇOS</w:t>
      </w:r>
    </w:p>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 xml:space="preserve">3.1. Caberá à Superintendência Estadual de Compras e Licitações – SUPEL a condução do conjunto de procedimentos do certame para registro de preços e gerenciamento da Ata dele recorrente (Decreto </w:t>
      </w:r>
      <w:proofErr w:type="gramStart"/>
      <w:r w:rsidRPr="00D97096">
        <w:rPr>
          <w:rFonts w:ascii="Arial" w:hAnsi="Arial" w:cs="Arial"/>
          <w:bCs/>
          <w:color w:val="000000"/>
          <w:sz w:val="16"/>
          <w:szCs w:val="16"/>
        </w:rPr>
        <w:t>18.340/13 artigo</w:t>
      </w:r>
      <w:proofErr w:type="gramEnd"/>
      <w:r w:rsidRPr="00D97096">
        <w:rPr>
          <w:rFonts w:ascii="Arial" w:hAnsi="Arial" w:cs="Arial"/>
          <w:bCs/>
          <w:color w:val="000000"/>
          <w:sz w:val="16"/>
          <w:szCs w:val="16"/>
        </w:rPr>
        <w:t xml:space="preserve">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 </w:t>
      </w:r>
    </w:p>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4. DA ESPECIFICAÇÃO, QUANTIDADE E PREÇO</w:t>
      </w:r>
    </w:p>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4.1. O preço, a quantidade, o fornecedor e a especificação do item registrado nesta Ata, encontram-se indicados no Anexo I deste instrumento.</w:t>
      </w:r>
    </w:p>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 </w:t>
      </w:r>
    </w:p>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5. PRAZOS E CONDIÇÕES DE FORNECIMENTO</w:t>
      </w:r>
    </w:p>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A DETENTORA do registro de preços se obriga, nos termos do Edital e deste instrumento, a:</w:t>
      </w:r>
    </w:p>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5.1. Retirar a Nota de Empenho junto ao órgão solicitante no prazo de até 05 (cinco) dias, contados da convocação;</w:t>
      </w:r>
    </w:p>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5.2. Iniciar o fornecimento do objeto dessa Ata, conforme prazo estabelecido no Termo de Referência e edital de licitações.</w:t>
      </w:r>
    </w:p>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5.3. Não será admitida a entrega pela detentora do registro, de qualquer item, sem que esta esteja de posse da respectiva nota de empenho, liberação de fornecimento, ou documento equivalente.      </w:t>
      </w:r>
    </w:p>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5.4. O objeto e/ou serviço desta ata deverá ser fornecido parcialmente durante a vigência da ata ou contrato, de acordo com as necessidades dos órgãos requerentes, nas quantidades solicitadas pelos mesmos.</w:t>
      </w:r>
    </w:p>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 </w:t>
      </w:r>
    </w:p>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6. DO PRAZO E LOCAL/INSTALAÇÃO DE ENTREGA</w:t>
      </w:r>
    </w:p>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6.1. No recebimento e aceitação de qualquer item, objeto desta Ata de Registro de Preços, serão observadas as especificações contidas no instrumento convocatório.</w:t>
      </w:r>
    </w:p>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6.2. Expedida a Nota de Empenho, o recebimento de seu objeto ficará condicionado a observância das normas contidas no art. 40, inciso XVI, c/</w:t>
      </w:r>
      <w:proofErr w:type="gramStart"/>
      <w:r w:rsidRPr="00D97096">
        <w:rPr>
          <w:rFonts w:ascii="Arial" w:hAnsi="Arial" w:cs="Arial"/>
          <w:bCs/>
          <w:color w:val="000000"/>
          <w:sz w:val="16"/>
          <w:szCs w:val="16"/>
        </w:rPr>
        <w:t>c</w:t>
      </w:r>
      <w:proofErr w:type="gramEnd"/>
      <w:r w:rsidRPr="00D97096">
        <w:rPr>
          <w:rFonts w:ascii="Arial" w:hAnsi="Arial" w:cs="Arial"/>
          <w:bCs/>
          <w:color w:val="000000"/>
          <w:sz w:val="16"/>
          <w:szCs w:val="16"/>
        </w:rPr>
        <w:t xml:space="preserve"> o art. 73 inciso II, “a” e “b”, da Lei 8.666/93 e alterações.</w:t>
      </w:r>
    </w:p>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6.3. DO PRAZO DE ENTREGA: O fornecimento/entrega deverá ser efetuado no prazo máximo de 30 (trinta) dias corridos, na totalidade do objeto contratado, contados a partir do recebimento da Nota de Empenho ou do Instrumento de contrato.</w:t>
      </w:r>
    </w:p>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 xml:space="preserve">6.4. DO LOCAL DE ENTREGA: Os medicamentos deverão ser entregues no: Central de Abastecimento Farmacêutico – CAF1, sito a Rua Aparício de Moraes nº 4338 – Bairro: Industrial – CEP: 76.821-240 – Porto Velho/RO horário das 08h00min horas as 15h00min horas, de segunda a quinta-feira e das 08:00 00min horas as 13h00min horas, as </w:t>
      </w:r>
      <w:proofErr w:type="spellStart"/>
      <w:r w:rsidRPr="00D97096">
        <w:rPr>
          <w:rFonts w:ascii="Arial" w:hAnsi="Arial" w:cs="Arial"/>
          <w:bCs/>
          <w:color w:val="000000"/>
          <w:sz w:val="16"/>
          <w:szCs w:val="16"/>
        </w:rPr>
        <w:t>sexta-feiras</w:t>
      </w:r>
      <w:proofErr w:type="spellEnd"/>
      <w:r w:rsidRPr="00D97096">
        <w:rPr>
          <w:rFonts w:ascii="Arial" w:hAnsi="Arial" w:cs="Arial"/>
          <w:bCs/>
          <w:color w:val="000000"/>
          <w:sz w:val="16"/>
          <w:szCs w:val="16"/>
        </w:rPr>
        <w:t>.</w:t>
      </w:r>
    </w:p>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 </w:t>
      </w:r>
    </w:p>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7.  DAS CONDIÇÕES DE PAGAMENTO          </w:t>
      </w:r>
    </w:p>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7.1. A empresa detentora da Ata apresentará a Gerência Financeira do Órgão requisitante a nota fiscal referente ao fornecimento efetuado.</w:t>
      </w:r>
    </w:p>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7.2. O respectivo Órgão terá o prazo de 10 (dez) dias úteis, a contar da apresentação da nota fiscal para aceitá-la ou rejeitá-la.</w:t>
      </w:r>
    </w:p>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 xml:space="preserve">7.3. A nota fiscal não aprovada será devolvida à empresa detentora da Ata para as necessárias correções, com as informações que motivaram sua rejeição, contando-se o prazo estabelecido no subitem 6.2. </w:t>
      </w:r>
      <w:proofErr w:type="gramStart"/>
      <w:r w:rsidRPr="00D97096">
        <w:rPr>
          <w:rFonts w:ascii="Arial" w:hAnsi="Arial" w:cs="Arial"/>
          <w:bCs/>
          <w:color w:val="000000"/>
          <w:sz w:val="16"/>
          <w:szCs w:val="16"/>
        </w:rPr>
        <w:t>a</w:t>
      </w:r>
      <w:proofErr w:type="gramEnd"/>
      <w:r w:rsidRPr="00D97096">
        <w:rPr>
          <w:rFonts w:ascii="Arial" w:hAnsi="Arial" w:cs="Arial"/>
          <w:bCs/>
          <w:color w:val="000000"/>
          <w:sz w:val="16"/>
          <w:szCs w:val="16"/>
        </w:rPr>
        <w:t xml:space="preserve"> partir da data de sua reapresentação.</w:t>
      </w:r>
    </w:p>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7.4. A devolução da nota fiscal não aprovada, em hipótese alguma, servirá de pretexto para que a empresa detentora da Ata suspenda quaisquer fornecimentos.</w:t>
      </w:r>
    </w:p>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7.5. O Estado de Rondônia, através dos órgãos requisitantes, providenciará o pagamento no prazo de até 30 (trinta) dias corridos, contada da data do aceite da nota fiscal.</w:t>
      </w:r>
    </w:p>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 </w:t>
      </w:r>
    </w:p>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8.  DA DOTAÇÃO ORÇAMENTÁRIA</w:t>
      </w:r>
    </w:p>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8.1.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 </w:t>
      </w:r>
    </w:p>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9. DAS SANÇÕES</w:t>
      </w:r>
    </w:p>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9.1. Em cumprimento ao disposto no Decreto 10.520/2002, em seu artigo 7º e subsidiariamente as sanções cominadas no art.  87, I, III e IV, da Lei nº 8.666/</w:t>
      </w:r>
      <w:proofErr w:type="gramStart"/>
      <w:r w:rsidRPr="00D97096">
        <w:rPr>
          <w:rFonts w:ascii="Arial" w:hAnsi="Arial" w:cs="Arial"/>
          <w:bCs/>
          <w:color w:val="000000"/>
          <w:sz w:val="16"/>
          <w:szCs w:val="16"/>
        </w:rPr>
        <w:t>93,  pela</w:t>
      </w:r>
      <w:proofErr w:type="gramEnd"/>
      <w:r w:rsidRPr="00D97096">
        <w:rPr>
          <w:rFonts w:ascii="Arial" w:hAnsi="Arial" w:cs="Arial"/>
          <w:bCs/>
          <w:color w:val="000000"/>
          <w:sz w:val="16"/>
          <w:szCs w:val="16"/>
        </w:rPr>
        <w:t xml:space="preserve"> inexecução total ou parcial do contrato, a Administração poderá, garantida a prévia e ampla defesa, aplicar à Contratada multa de até 10% (dez por cento) sobre a parcela inadimplida.</w:t>
      </w:r>
    </w:p>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 xml:space="preserve">9.2. Se a adjudicatária </w:t>
      </w:r>
      <w:proofErr w:type="gramStart"/>
      <w:r w:rsidRPr="00D97096">
        <w:rPr>
          <w:rFonts w:ascii="Arial" w:hAnsi="Arial" w:cs="Arial"/>
          <w:bCs/>
          <w:color w:val="000000"/>
          <w:sz w:val="16"/>
          <w:szCs w:val="16"/>
        </w:rPr>
        <w:t>recusar-se</w:t>
      </w:r>
      <w:proofErr w:type="gramEnd"/>
      <w:r w:rsidRPr="00D97096">
        <w:rPr>
          <w:rFonts w:ascii="Arial" w:hAnsi="Arial" w:cs="Arial"/>
          <w:bCs/>
          <w:color w:val="000000"/>
          <w:sz w:val="16"/>
          <w:szCs w:val="16"/>
        </w:rPr>
        <w:t xml:space="preserve"> a retirar o instrumento contratual injustificadamente ou se não apresentar situação regular      na ocasião dos recebimentos, garantida a prévia e ampla defesa, aplicar à Contratada multa de até 10% (dez por cento) sobre    o valor adjudicado.</w:t>
      </w:r>
    </w:p>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 xml:space="preserve">9.3. Pelo atraso injustificado, inexecução total ou parcial do contrato, a SESAU/RO poderá, garantida a defesa </w:t>
      </w:r>
      <w:proofErr w:type="gramStart"/>
      <w:r w:rsidRPr="00D97096">
        <w:rPr>
          <w:rFonts w:ascii="Arial" w:hAnsi="Arial" w:cs="Arial"/>
          <w:bCs/>
          <w:color w:val="000000"/>
          <w:sz w:val="16"/>
          <w:szCs w:val="16"/>
        </w:rPr>
        <w:t>prévia,   </w:t>
      </w:r>
      <w:proofErr w:type="gramEnd"/>
      <w:r w:rsidRPr="00D97096">
        <w:rPr>
          <w:rFonts w:ascii="Arial" w:hAnsi="Arial" w:cs="Arial"/>
          <w:bCs/>
          <w:color w:val="000000"/>
          <w:sz w:val="16"/>
          <w:szCs w:val="16"/>
        </w:rPr>
        <w:t xml:space="preserve">  aplicar  à CONTRATADA as multas fixadas a seguir, sem prejuízo de outras sanções previstas neste edital, no contrato, e     demais legislações aplicáveis à espécie:</w:t>
      </w:r>
    </w:p>
    <w:p w:rsidR="00D97096" w:rsidRPr="00D97096" w:rsidRDefault="00D97096" w:rsidP="00D97096">
      <w:pPr>
        <w:spacing w:before="120" w:after="120"/>
        <w:ind w:left="120" w:right="120"/>
        <w:jc w:val="both"/>
        <w:rPr>
          <w:rFonts w:ascii="Arial" w:hAnsi="Arial" w:cs="Arial"/>
          <w:bCs/>
          <w:color w:val="000000"/>
          <w:sz w:val="16"/>
          <w:szCs w:val="16"/>
        </w:rPr>
      </w:pPr>
      <w:proofErr w:type="gramStart"/>
      <w:r w:rsidRPr="00D97096">
        <w:rPr>
          <w:rFonts w:ascii="Arial" w:hAnsi="Arial" w:cs="Arial"/>
          <w:bCs/>
          <w:color w:val="000000"/>
          <w:sz w:val="16"/>
          <w:szCs w:val="16"/>
        </w:rPr>
        <w:t>a)Multa</w:t>
      </w:r>
      <w:proofErr w:type="gramEnd"/>
      <w:r w:rsidRPr="00D97096">
        <w:rPr>
          <w:rFonts w:ascii="Arial" w:hAnsi="Arial" w:cs="Arial"/>
          <w:bCs/>
          <w:color w:val="000000"/>
          <w:sz w:val="16"/>
          <w:szCs w:val="16"/>
        </w:rPr>
        <w:t xml:space="preserve"> moratória de 0,1% (um décimo por cento) do valor do contrato, por dia de atraso do início de sua execução. Acima   do limite aqui estabelecido (30 dias), caracterizará inexecução total da obrigação assumida;</w:t>
      </w:r>
    </w:p>
    <w:p w:rsidR="00D97096" w:rsidRPr="00D97096" w:rsidRDefault="00D97096" w:rsidP="00D97096">
      <w:pPr>
        <w:spacing w:before="120" w:after="120"/>
        <w:ind w:left="120" w:right="120"/>
        <w:jc w:val="both"/>
        <w:rPr>
          <w:rFonts w:ascii="Arial" w:hAnsi="Arial" w:cs="Arial"/>
          <w:bCs/>
          <w:color w:val="000000"/>
          <w:sz w:val="16"/>
          <w:szCs w:val="16"/>
        </w:rPr>
      </w:pPr>
      <w:proofErr w:type="gramStart"/>
      <w:r w:rsidRPr="00D97096">
        <w:rPr>
          <w:rFonts w:ascii="Arial" w:hAnsi="Arial" w:cs="Arial"/>
          <w:bCs/>
          <w:color w:val="000000"/>
          <w:sz w:val="16"/>
          <w:szCs w:val="16"/>
        </w:rPr>
        <w:t>b)Multa</w:t>
      </w:r>
      <w:proofErr w:type="gramEnd"/>
      <w:r w:rsidRPr="00D97096">
        <w:rPr>
          <w:rFonts w:ascii="Arial" w:hAnsi="Arial" w:cs="Arial"/>
          <w:bCs/>
          <w:color w:val="000000"/>
          <w:sz w:val="16"/>
          <w:szCs w:val="16"/>
        </w:rPr>
        <w:t xml:space="preserve"> de 10% (dez por cento) do valor do contrato, no caso de descumprimento de qualquer outra obrigação pactuada;</w:t>
      </w:r>
    </w:p>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9.4. Para efeito de aplicação de multas, às infrações são atribuídos graus, com percentuais de multa conforme a tabela a seguir, que elenca apenas as principais situações previstas, não eximindo de outras equivalentes que surgirem, conforme o caso: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53"/>
        <w:gridCol w:w="8491"/>
        <w:gridCol w:w="733"/>
        <w:gridCol w:w="1050"/>
      </w:tblGrid>
      <w:tr w:rsidR="00D97096" w:rsidRPr="00D97096" w:rsidTr="00D9709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MULTA*</w:t>
            </w:r>
          </w:p>
        </w:tc>
      </w:tr>
      <w:tr w:rsidR="00D97096" w:rsidRPr="00D97096" w:rsidTr="00D9709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 xml:space="preserve">Permitir situação que crie a possibilidade ou cause </w:t>
            </w:r>
            <w:proofErr w:type="spellStart"/>
            <w:r w:rsidRPr="00D97096">
              <w:rPr>
                <w:rFonts w:ascii="Arial" w:hAnsi="Arial" w:cs="Arial"/>
                <w:bCs/>
                <w:color w:val="000000"/>
                <w:sz w:val="16"/>
                <w:szCs w:val="16"/>
              </w:rPr>
              <w:t>dano</w:t>
            </w:r>
            <w:proofErr w:type="spellEnd"/>
            <w:r w:rsidRPr="00D97096">
              <w:rPr>
                <w:rFonts w:ascii="Arial" w:hAnsi="Arial" w:cs="Arial"/>
                <w:bCs/>
                <w:color w:val="000000"/>
                <w:sz w:val="16"/>
                <w:szCs w:val="16"/>
              </w:rPr>
              <w:t xml:space="preserve">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4,0% por dia</w:t>
            </w:r>
          </w:p>
        </w:tc>
      </w:tr>
      <w:tr w:rsidR="00D97096" w:rsidRPr="00D97096" w:rsidTr="00D9709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4,0% por dia</w:t>
            </w:r>
          </w:p>
        </w:tc>
      </w:tr>
      <w:tr w:rsidR="00D97096" w:rsidRPr="00D97096" w:rsidTr="00D9709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3,2% por dia</w:t>
            </w:r>
          </w:p>
        </w:tc>
      </w:tr>
      <w:tr w:rsidR="00D97096" w:rsidRPr="00D97096" w:rsidTr="00D97096">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 </w:t>
            </w:r>
          </w:p>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Para os itens a seguir, deixar de:</w:t>
            </w:r>
          </w:p>
        </w:tc>
      </w:tr>
      <w:tr w:rsidR="00D97096" w:rsidRPr="00D97096" w:rsidTr="00D9709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Efetuar o pagamento de seguros, encargos fiscais e sociais, assim como quaisquer despesas diretas e/ou indiretas relacionadas à execução deste contrato;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3,2% por dia</w:t>
            </w:r>
          </w:p>
        </w:tc>
      </w:tr>
      <w:tr w:rsidR="00D97096" w:rsidRPr="00D97096" w:rsidTr="00D9709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0,8% por dia</w:t>
            </w:r>
          </w:p>
        </w:tc>
      </w:tr>
      <w:tr w:rsidR="00D97096" w:rsidRPr="00D97096" w:rsidTr="00D9709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Ressarcir o órgão por eventuais danos causados por sua culpa, em veículos, equipamentos, dados, etc.</w:t>
            </w:r>
          </w:p>
        </w:tc>
        <w:tc>
          <w:tcPr>
            <w:tcW w:w="0" w:type="auto"/>
            <w:tcBorders>
              <w:top w:val="outset" w:sz="6" w:space="0" w:color="auto"/>
              <w:left w:val="outset" w:sz="6" w:space="0" w:color="auto"/>
              <w:bottom w:val="outset" w:sz="6" w:space="0" w:color="auto"/>
              <w:right w:val="outset" w:sz="6" w:space="0" w:color="auto"/>
            </w:tcBorders>
            <w:vAlign w:val="center"/>
            <w:hideMark/>
          </w:tcPr>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0,4% por dia</w:t>
            </w:r>
          </w:p>
        </w:tc>
      </w:tr>
      <w:tr w:rsidR="00D97096" w:rsidRPr="00D97096" w:rsidTr="00D9709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0,2% por dia</w:t>
            </w:r>
          </w:p>
        </w:tc>
      </w:tr>
      <w:tr w:rsidR="00D97096" w:rsidRPr="00D97096" w:rsidTr="00D9709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 </w:t>
            </w:r>
          </w:p>
        </w:tc>
      </w:tr>
    </w:tbl>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9.5.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 (Cadastro Estadual de Fornecedores Impedidos de Licitar).</w:t>
      </w:r>
    </w:p>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9.6.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Mantendo-se o insucesso, seus dados serão encaminhados ao órgão competente para que seja inscrita na dívida ativa, podendo, ainda a Administração proceder à cobrança judicial. </w:t>
      </w:r>
    </w:p>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9.7. As multas previstas nesta seção não eximem a adjudicatária ou contratada da reparação dos eventuais danos, perdas ou prejuízos que seu ato punível venha causar à Administração.</w:t>
      </w:r>
    </w:p>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9.8.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9.9.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9.10.São exemplos de infração administrativa penalizáveis, nos termos da Lei nº 8.666, de 1993, da Lei nº 10.520, de 2002, do Decreto nº 3.555, de 2000, e do Decreto nº 10.029, de 2019, bem como o Decreto Estadual nº 12.205/2005:</w:t>
      </w:r>
    </w:p>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 a)  Inexecução total ou parcial do contrato;</w:t>
      </w:r>
    </w:p>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 b)  Apresentação de documentação falsa;</w:t>
      </w:r>
    </w:p>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 c)  Comportamento inidôneo;</w:t>
      </w:r>
    </w:p>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 d)  Fraude fiscal;</w:t>
      </w:r>
    </w:p>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 e)  Descumprimento de qualquer dos deveres elencados no Edital ou no Contrato.</w:t>
      </w:r>
    </w:p>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9.11. As sanções serão aplicadas sem prejuízo da responsabilidade civil e criminal que possa ser acionada em desfavor da Contratada, conforme infração cometida e prejuízos causados à administração ou a terceiros.</w:t>
      </w:r>
    </w:p>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9.12. As sanções aqui previstas poderão ser aplicadas concomitantemente, facultada a defesa prévia do interessado, no respectivo processo, no prazo de 05 (cinco) dias úteis.</w:t>
      </w:r>
    </w:p>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9.13. Após 30 (trinta) dias da falta de execução do objeto, será considerada inexecução total do contrato, o que ensejará a rescisão contratual.</w:t>
      </w:r>
    </w:p>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9.14. As sanções de natureza pecuniária serão diretamente descontadas de créditos que eventualmente detenha a CONTRATADA ou efetuada a sua cobrança na forma prevista em lei.</w:t>
      </w:r>
    </w:p>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9.15.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9.16. A autoridade competente, na aplicação das sanções, levará em consideração a gravidade da conduta do infrator, o caráter educativo da pena, bem como o dano causado à Administração, observado o princípio da proporcionalidade.</w:t>
      </w:r>
    </w:p>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9.17. A sanção será obrigatoriamente registrada no Sistema de Cadastramento Unificado de Fornecedores – SICAF, bem como em sistemas Estaduais.</w:t>
      </w:r>
    </w:p>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9.18. Também ficam sujeitas às penalidades de suspensão de licitar e impedimento de contratar com o órgão licitante e de declaração de inidoneidade, previstas no subitem anterior, as empresas ou profissionais que, em razão do contrato decorrente desta licitação: </w:t>
      </w:r>
    </w:p>
    <w:p w:rsidR="00D97096" w:rsidRPr="00D97096" w:rsidRDefault="00D97096" w:rsidP="00D97096">
      <w:pPr>
        <w:spacing w:before="120" w:after="120"/>
        <w:ind w:left="120" w:right="120"/>
        <w:jc w:val="both"/>
        <w:rPr>
          <w:rFonts w:ascii="Arial" w:hAnsi="Arial" w:cs="Arial"/>
          <w:bCs/>
          <w:color w:val="000000"/>
          <w:sz w:val="16"/>
          <w:szCs w:val="16"/>
        </w:rPr>
      </w:pPr>
      <w:proofErr w:type="gramStart"/>
      <w:r w:rsidRPr="00D97096">
        <w:rPr>
          <w:rFonts w:ascii="Arial" w:hAnsi="Arial" w:cs="Arial"/>
          <w:bCs/>
          <w:color w:val="000000"/>
          <w:sz w:val="16"/>
          <w:szCs w:val="16"/>
        </w:rPr>
        <w:t>a) Tenham</w:t>
      </w:r>
      <w:proofErr w:type="gramEnd"/>
      <w:r w:rsidRPr="00D97096">
        <w:rPr>
          <w:rFonts w:ascii="Arial" w:hAnsi="Arial" w:cs="Arial"/>
          <w:bCs/>
          <w:color w:val="000000"/>
          <w:sz w:val="16"/>
          <w:szCs w:val="16"/>
        </w:rPr>
        <w:t xml:space="preserve"> sofrido condenações definitivas por praticarem, por meio dolosos, fraude fiscal no recolhimento de tributos;</w:t>
      </w:r>
    </w:p>
    <w:p w:rsidR="00D97096" w:rsidRPr="00D97096" w:rsidRDefault="00D97096" w:rsidP="00D97096">
      <w:pPr>
        <w:spacing w:before="120" w:after="120"/>
        <w:ind w:left="120" w:right="120"/>
        <w:jc w:val="both"/>
        <w:rPr>
          <w:rFonts w:ascii="Arial" w:hAnsi="Arial" w:cs="Arial"/>
          <w:bCs/>
          <w:color w:val="000000"/>
          <w:sz w:val="16"/>
          <w:szCs w:val="16"/>
        </w:rPr>
      </w:pPr>
      <w:proofErr w:type="gramStart"/>
      <w:r w:rsidRPr="00D97096">
        <w:rPr>
          <w:rFonts w:ascii="Arial" w:hAnsi="Arial" w:cs="Arial"/>
          <w:bCs/>
          <w:color w:val="000000"/>
          <w:sz w:val="16"/>
          <w:szCs w:val="16"/>
        </w:rPr>
        <w:t>b) Tenham</w:t>
      </w:r>
      <w:proofErr w:type="gramEnd"/>
      <w:r w:rsidRPr="00D97096">
        <w:rPr>
          <w:rFonts w:ascii="Arial" w:hAnsi="Arial" w:cs="Arial"/>
          <w:bCs/>
          <w:color w:val="000000"/>
          <w:sz w:val="16"/>
          <w:szCs w:val="16"/>
        </w:rPr>
        <w:t xml:space="preserve"> praticado atos ilícitos visando a frustrar os objetivos da licitação;</w:t>
      </w:r>
    </w:p>
    <w:p w:rsidR="00D97096" w:rsidRPr="00D97096" w:rsidRDefault="00D97096" w:rsidP="00D97096">
      <w:pPr>
        <w:spacing w:before="120" w:after="120"/>
        <w:ind w:left="120" w:right="120"/>
        <w:jc w:val="both"/>
        <w:rPr>
          <w:rFonts w:ascii="Arial" w:hAnsi="Arial" w:cs="Arial"/>
          <w:bCs/>
          <w:color w:val="000000"/>
          <w:sz w:val="16"/>
          <w:szCs w:val="16"/>
        </w:rPr>
      </w:pPr>
      <w:proofErr w:type="gramStart"/>
      <w:r w:rsidRPr="00D97096">
        <w:rPr>
          <w:rFonts w:ascii="Arial" w:hAnsi="Arial" w:cs="Arial"/>
          <w:bCs/>
          <w:color w:val="000000"/>
          <w:sz w:val="16"/>
          <w:szCs w:val="16"/>
        </w:rPr>
        <w:t>c) Demonstrem</w:t>
      </w:r>
      <w:proofErr w:type="gramEnd"/>
      <w:r w:rsidRPr="00D97096">
        <w:rPr>
          <w:rFonts w:ascii="Arial" w:hAnsi="Arial" w:cs="Arial"/>
          <w:bCs/>
          <w:color w:val="000000"/>
          <w:sz w:val="16"/>
          <w:szCs w:val="16"/>
        </w:rPr>
        <w:t xml:space="preserve"> não possuir idoneidade para contratar com a Administração em virtude de atos ilícitos praticados;</w:t>
      </w:r>
    </w:p>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 </w:t>
      </w:r>
    </w:p>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10. DA UTILIZAÇÃO DA ATA</w:t>
      </w:r>
    </w:p>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10.1.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10.2. É facultada aos órgãos s ou entidades municipais, distritais ou estaduais a adesão a ata de registro de preços da Administração Pública Estadual.</w:t>
      </w:r>
    </w:p>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10.3. 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10.4. As aquisições ou contratações adicionais não poderão exceder, por órgão ou entidade, a 50% dos quantitativos dos itens do instrumento convocatório e registrados na ata de registro de preços para o órgão gerenciador e órgãos participantes.</w:t>
      </w:r>
    </w:p>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 xml:space="preserve">10.5. As adesões à ata de registro de preços não poderão exceder, na totalidade, ao dobro do quantitativo de cada item registrado na ata de registro de preços para o órgão gerenciador e órgãos participantes, </w:t>
      </w:r>
      <w:proofErr w:type="spellStart"/>
      <w:r w:rsidRPr="00D97096">
        <w:rPr>
          <w:rFonts w:ascii="Arial" w:hAnsi="Arial" w:cs="Arial"/>
          <w:bCs/>
          <w:color w:val="000000"/>
          <w:sz w:val="16"/>
          <w:szCs w:val="16"/>
        </w:rPr>
        <w:t>independente</w:t>
      </w:r>
      <w:proofErr w:type="spellEnd"/>
      <w:r w:rsidRPr="00D97096">
        <w:rPr>
          <w:rFonts w:ascii="Arial" w:hAnsi="Arial" w:cs="Arial"/>
          <w:bCs/>
          <w:color w:val="000000"/>
          <w:sz w:val="16"/>
          <w:szCs w:val="16"/>
        </w:rPr>
        <w:t xml:space="preserve"> do número de órgãos não participantes que aderirem.</w:t>
      </w:r>
    </w:p>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10.6. Caberá ao órgão que se utilizar da ata, verificar a vantagem econômica da adesão a este Registro de Preço.</w:t>
      </w:r>
    </w:p>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 </w:t>
      </w:r>
    </w:p>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11. DA ALTERAÇÃO DA ATA DE REGISTRO DE PREÇOS</w:t>
      </w:r>
    </w:p>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11.1.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 xml:space="preserve">11.2. Quando o preço registrado </w:t>
      </w:r>
      <w:proofErr w:type="gramStart"/>
      <w:r w:rsidRPr="00D97096">
        <w:rPr>
          <w:rFonts w:ascii="Arial" w:hAnsi="Arial" w:cs="Arial"/>
          <w:bCs/>
          <w:color w:val="000000"/>
          <w:sz w:val="16"/>
          <w:szCs w:val="16"/>
        </w:rPr>
        <w:t>tornar-se</w:t>
      </w:r>
      <w:proofErr w:type="gramEnd"/>
      <w:r w:rsidRPr="00D97096">
        <w:rPr>
          <w:rFonts w:ascii="Arial" w:hAnsi="Arial" w:cs="Arial"/>
          <w:bCs/>
          <w:color w:val="000000"/>
          <w:sz w:val="16"/>
          <w:szCs w:val="16"/>
        </w:rPr>
        <w:t xml:space="preserve"> superior ao preço praticado no mercado por motivo superveniente, o órgão gerenciador convocará os fornecedores para negociarem a redução dos preços aos valores praticados pelo mercado.</w:t>
      </w:r>
    </w:p>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11.3. Os fornecedores que não aceitarem reduzir seus preços aos valores praticados pelo mercado serão liberados do compromisso assumido, sem aplicação de penalidade.</w:t>
      </w:r>
    </w:p>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11.4. A ordem de classificação dos fornecedores que aceitarem reduzir seus preços aos valores de mercado observará a classificação original.</w:t>
      </w:r>
    </w:p>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 xml:space="preserve">11.5. Quando o preço de mercado </w:t>
      </w:r>
      <w:proofErr w:type="gramStart"/>
      <w:r w:rsidRPr="00D97096">
        <w:rPr>
          <w:rFonts w:ascii="Arial" w:hAnsi="Arial" w:cs="Arial"/>
          <w:bCs/>
          <w:color w:val="000000"/>
          <w:sz w:val="16"/>
          <w:szCs w:val="16"/>
        </w:rPr>
        <w:t>tornar-se</w:t>
      </w:r>
      <w:proofErr w:type="gramEnd"/>
      <w:r w:rsidRPr="00D97096">
        <w:rPr>
          <w:rFonts w:ascii="Arial" w:hAnsi="Arial" w:cs="Arial"/>
          <w:bCs/>
          <w:color w:val="000000"/>
          <w:sz w:val="16"/>
          <w:szCs w:val="16"/>
        </w:rPr>
        <w:t xml:space="preserve"> superior aos preços registrados, e o fornecedor não puder cumprir o compromisso, o órgão gerenciador poderá:</w:t>
      </w:r>
    </w:p>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11.5.1. Liberar o fornecedor do compromisso assumido, caso a comunicação ocorra antes do pedido de fornecimento, sem aplicação de penalidade se confirmada a veracidade dos motivos e comprovantes;</w:t>
      </w:r>
    </w:p>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11.5.2. Convocar os demais fornecedores para assegurar igual oportunidade de negociação;</w:t>
      </w:r>
    </w:p>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11.5.3. Não havendo êxito nas negociações, o órgão gerenciador deverá proceder a revogação do item da ata de registro de preços, adotando as medidas cabíveis para obtenção da contratação mais vantajosa.</w:t>
      </w:r>
    </w:p>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 </w:t>
      </w:r>
    </w:p>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12. DAS OBRIGAÇÕES DA DETENTORA DO REGISTRO</w:t>
      </w:r>
    </w:p>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12.1. Substituir em qualquer tempo e sem qualquer Ônus para o Órgão/Entidade toda ou parte da remessa devolvida pela mesma, no prazo de 05 (cinco) dias úteis, caso constatada divergência na especificação;</w:t>
      </w:r>
    </w:p>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12.2. Dispor-se a toda e qualquer fiscalização, no tocante ao fornecimento do produto, assim como ao cumprimento das obrigações previstas na ATA;</w:t>
      </w:r>
    </w:p>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12.3.  Prover todos os meios necessários à garantia da plena operacionalidade do fornecimento, inclusive considerados os casos de greve ou paralisação de qualquer natureza;</w:t>
      </w:r>
    </w:p>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12.4.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12.5. Comunicar imediatamente à Administração Pública qualquer alteração ocorrida no endereço, conta bancária e outros julgáveis necessários para recebimento de correspondência;</w:t>
      </w:r>
    </w:p>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12.6. Respeitar e fazer cumprir a legislação de segurança e saúde no trabalho, previstas nas normas regulamentadoras pertinentes;</w:t>
      </w:r>
    </w:p>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12.7. Fiscalizar o perfeito cumprimento do fornecimento a que se obrigou, cabendo-lhe, integralmente, os ônus decorrentes. Tal fiscalização dar-se-á independentemente da que será exercida pela Administração Pública.</w:t>
      </w:r>
    </w:p>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12.8.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12.9.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12.10. Todos os impostos e taxas que forem devidos em decorrência das contratações do objeto do Edital correrão por conta exclusiva da contratada;</w:t>
      </w:r>
    </w:p>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  </w:t>
      </w:r>
    </w:p>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13. DAS OBRIGAÇÕES DOS ÓRGÃOS REQUISITANTES</w:t>
      </w:r>
    </w:p>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13.1. Proporcionar todas as facilidades indispensáveis à boa execução das obrigações contratuais;</w:t>
      </w:r>
    </w:p>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13.2. Rejeitar, no todo ou em parte, os objetos desta Ata entregues em desacordo com as obrigações assumidas pelo fornecedor;</w:t>
      </w:r>
    </w:p>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13.3. Notificar a CONTRATADA de qualquer irregularidade encontrada no fornecimento dos objetos desta Ata;</w:t>
      </w:r>
    </w:p>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 xml:space="preserve">13.4. Efetuar o pagamento </w:t>
      </w:r>
      <w:proofErr w:type="gramStart"/>
      <w:r w:rsidRPr="00D97096">
        <w:rPr>
          <w:rFonts w:ascii="Arial" w:hAnsi="Arial" w:cs="Arial"/>
          <w:bCs/>
          <w:color w:val="000000"/>
          <w:sz w:val="16"/>
          <w:szCs w:val="16"/>
        </w:rPr>
        <w:t>à(</w:t>
      </w:r>
      <w:proofErr w:type="gramEnd"/>
      <w:r w:rsidRPr="00D97096">
        <w:rPr>
          <w:rFonts w:ascii="Arial" w:hAnsi="Arial" w:cs="Arial"/>
          <w:bCs/>
          <w:color w:val="000000"/>
          <w:sz w:val="16"/>
          <w:szCs w:val="16"/>
        </w:rPr>
        <w:t>s) contratada(s) de acordo com as condições de preços e prazos estabelecidos no edital e ata de registro de preços</w:t>
      </w:r>
    </w:p>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13.5. Nenhum pagamento será efetuado à empresa adjudicatária, enquanto pendente de liquidação qualquer obrigação. Esse fato não será gerador de direito a reajustamento de preços ou a atualização monetária.</w:t>
      </w:r>
    </w:p>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 xml:space="preserve">13.6. Não haverá </w:t>
      </w:r>
      <w:proofErr w:type="spellStart"/>
      <w:r w:rsidRPr="00D97096">
        <w:rPr>
          <w:rFonts w:ascii="Arial" w:hAnsi="Arial" w:cs="Arial"/>
          <w:bCs/>
          <w:color w:val="000000"/>
          <w:sz w:val="16"/>
          <w:szCs w:val="16"/>
        </w:rPr>
        <w:t>sob-hipótese</w:t>
      </w:r>
      <w:proofErr w:type="spellEnd"/>
      <w:r w:rsidRPr="00D97096">
        <w:rPr>
          <w:rFonts w:ascii="Arial" w:hAnsi="Arial" w:cs="Arial"/>
          <w:bCs/>
          <w:color w:val="000000"/>
          <w:sz w:val="16"/>
          <w:szCs w:val="16"/>
        </w:rPr>
        <w:t xml:space="preserve"> alguma, pagamento antecipado.</w:t>
      </w:r>
    </w:p>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 </w:t>
      </w:r>
    </w:p>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14. DA ALTERAÇÃO DAS MARCAS DOS ITENS REGISTRADOS</w:t>
      </w:r>
    </w:p>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14.1. A marca/laboratório do item registrado poderá ser alterada, desde que seja por outra marca compatível em qualidade com a inicialmente ofertada, de acordo com a decisão nº 142/12/GCPCN.</w:t>
      </w:r>
    </w:p>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14.2. A alteração deverá ser em decorrência de eventual fato superveniente, que impeça a detentora de cumprir com a entrega da marca/laboratório apresentada na proposta inicial, devidamente justificada e comprovada.</w:t>
      </w:r>
    </w:p>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14.3. Para substituição da marca registrada a empresa detentora deverá:</w:t>
      </w:r>
    </w:p>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14.3.1. Justificar a troca com a devida documentação, para análise do órgão gerenciador e equipe técnica da Diretoria de Assistência Farmacêutica - DAF, devendo apresentar amostra do produto da nova marca/laboratório ofertada, bem como registro do produto na ANVISA e Certificado de Boas Práticas vigente.</w:t>
      </w:r>
    </w:p>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14.3.2. O órgão gerenciador da ata de registro de preços, de posse da documentação apresentada, analisará o pedido, e com base no parecer técnico, poderá deferi-lo ou negá-lo.</w:t>
      </w:r>
    </w:p>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14.3.3. Em qualquer caso, a troca de marca não poderá ser efetivada se a nova marca ofertada for incompatível ou de qualidade e quantidade inferior a inicialmente ofertada.</w:t>
      </w:r>
    </w:p>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 xml:space="preserve">14.3.4. Quaisquer </w:t>
      </w:r>
      <w:proofErr w:type="gramStart"/>
      <w:r w:rsidRPr="00D97096">
        <w:rPr>
          <w:rFonts w:ascii="Arial" w:hAnsi="Arial" w:cs="Arial"/>
          <w:bCs/>
          <w:color w:val="000000"/>
          <w:sz w:val="16"/>
          <w:szCs w:val="16"/>
        </w:rPr>
        <w:t>custos adicionais oriundo</w:t>
      </w:r>
      <w:proofErr w:type="gramEnd"/>
      <w:r w:rsidRPr="00D97096">
        <w:rPr>
          <w:rFonts w:ascii="Arial" w:hAnsi="Arial" w:cs="Arial"/>
          <w:bCs/>
          <w:color w:val="000000"/>
          <w:sz w:val="16"/>
          <w:szCs w:val="16"/>
        </w:rPr>
        <w:t xml:space="preserve"> da alteração da marca/laboratório ficarão por conta da detentora do registro de preços, ficando vedada a cobrança de custos adicionais a Administração Pública.</w:t>
      </w:r>
    </w:p>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 </w:t>
      </w:r>
    </w:p>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15. DOS ÓRGÃOS PARTICIPANTES:</w:t>
      </w:r>
    </w:p>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15.1. É participante desta ata o seguinte órgão pertencente à Administração Pública do Estado de Rondônia:</w:t>
      </w:r>
    </w:p>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SESAU – Secretaria de Estado da Saúde.</w:t>
      </w:r>
    </w:p>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 </w:t>
      </w:r>
    </w:p>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16.  DISPOSIÇÕES GERAIS</w:t>
      </w:r>
    </w:p>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16.1.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16.2. Fica a Detentora ciente que a publicidade da ata de registro de preços na imprensa oficial terá efeito de compromisso nas condições ofertadas e pactuadas na proposta apresentada à licitação.</w:t>
      </w:r>
    </w:p>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16.3. 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16.4. Fazem parte integrante desta Ata, para todos os efeitos legais: o Edital de Licitação e seus anexos, bem como, o ANEXO ÚNICO desta ata que contém os preços registrados e respectivos detentores.</w:t>
      </w:r>
    </w:p>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 </w:t>
      </w:r>
    </w:p>
    <w:p w:rsidR="00D97096" w:rsidRPr="00D97096" w:rsidRDefault="00D97096" w:rsidP="00D97096">
      <w:pPr>
        <w:spacing w:before="120" w:after="120"/>
        <w:ind w:left="120" w:right="120"/>
        <w:jc w:val="both"/>
        <w:rPr>
          <w:rFonts w:ascii="Arial" w:hAnsi="Arial" w:cs="Arial"/>
          <w:bCs/>
          <w:color w:val="000000"/>
          <w:sz w:val="16"/>
          <w:szCs w:val="16"/>
        </w:rPr>
      </w:pPr>
      <w:r w:rsidRPr="00D97096">
        <w:rPr>
          <w:rFonts w:ascii="Arial" w:hAnsi="Arial" w:cs="Arial"/>
          <w:bCs/>
          <w:color w:val="000000"/>
          <w:sz w:val="16"/>
          <w:szCs w:val="16"/>
        </w:rPr>
        <w:t>        Fica eleito o foro do Município de Porto Velho/RO para dirimir as eventuais controvérsias decorrentes do presente ajuste.</w:t>
      </w:r>
    </w:p>
    <w:p w:rsidR="004D436B" w:rsidRPr="004D436B" w:rsidRDefault="004D436B" w:rsidP="004D436B">
      <w:pPr>
        <w:spacing w:before="120" w:after="120"/>
        <w:ind w:left="120" w:right="120" w:firstLine="1418"/>
        <w:jc w:val="both"/>
        <w:rPr>
          <w:rFonts w:ascii="Arial" w:hAnsi="Arial" w:cs="Arial"/>
          <w:bCs/>
          <w:color w:val="000000"/>
          <w:sz w:val="16"/>
          <w:szCs w:val="16"/>
        </w:rPr>
      </w:pPr>
    </w:p>
    <w:p w:rsidR="00AE42DC" w:rsidRPr="00AE42DC" w:rsidRDefault="00AE42DC" w:rsidP="00AE42DC">
      <w:pPr>
        <w:ind w:left="120" w:right="120"/>
        <w:jc w:val="both"/>
        <w:rPr>
          <w:rFonts w:ascii="Arial" w:hAnsi="Arial" w:cs="Arial"/>
          <w:bCs/>
          <w:color w:val="000000"/>
          <w:sz w:val="16"/>
          <w:szCs w:val="16"/>
        </w:rPr>
      </w:pPr>
    </w:p>
    <w:p w:rsidR="000B1908" w:rsidRPr="00FE1B9F" w:rsidRDefault="000B1908" w:rsidP="009D2314">
      <w:pPr>
        <w:ind w:right="47"/>
        <w:jc w:val="both"/>
        <w:rPr>
          <w:rFonts w:ascii="Arial" w:hAnsi="Arial" w:cs="Arial"/>
          <w:b/>
          <w:bCs/>
          <w:color w:val="000000"/>
          <w:sz w:val="16"/>
          <w:szCs w:val="16"/>
        </w:rPr>
      </w:pPr>
    </w:p>
    <w:p w:rsidR="009D2314" w:rsidRPr="00FE1B9F" w:rsidRDefault="009D2314" w:rsidP="009D2314">
      <w:pPr>
        <w:ind w:right="47"/>
        <w:jc w:val="both"/>
        <w:rPr>
          <w:rFonts w:ascii="Arial" w:hAnsi="Arial" w:cs="Arial"/>
          <w:b/>
          <w:bCs/>
          <w:color w:val="000000"/>
          <w:sz w:val="16"/>
          <w:szCs w:val="16"/>
        </w:rPr>
      </w:pPr>
      <w:r w:rsidRPr="00FE1B9F">
        <w:rPr>
          <w:rFonts w:ascii="Arial" w:hAnsi="Arial" w:cs="Arial"/>
          <w:b/>
          <w:bCs/>
          <w:color w:val="000000"/>
          <w:sz w:val="16"/>
          <w:szCs w:val="16"/>
        </w:rPr>
        <w:t>ÓRGÃO GERENCIADOR:</w:t>
      </w:r>
    </w:p>
    <w:p w:rsidR="005F5204" w:rsidRPr="00FE1B9F" w:rsidRDefault="005F5204" w:rsidP="001D7CAD">
      <w:pPr>
        <w:ind w:right="47"/>
        <w:rPr>
          <w:rFonts w:ascii="Arial" w:hAnsi="Arial" w:cs="Arial"/>
          <w:b/>
          <w:bCs/>
          <w:color w:val="000000"/>
          <w:sz w:val="16"/>
          <w:szCs w:val="16"/>
        </w:rPr>
      </w:pPr>
    </w:p>
    <w:p w:rsidR="00187082" w:rsidRDefault="00187082" w:rsidP="00B81155">
      <w:pPr>
        <w:ind w:right="47"/>
        <w:rPr>
          <w:rStyle w:val="Forte"/>
          <w:rFonts w:eastAsiaTheme="majorEastAsia"/>
          <w:color w:val="000000"/>
          <w:sz w:val="27"/>
          <w:szCs w:val="27"/>
        </w:rPr>
      </w:pPr>
      <w:r w:rsidRPr="00187082">
        <w:rPr>
          <w:rFonts w:ascii="Arial" w:hAnsi="Arial" w:cs="Arial"/>
          <w:b/>
          <w:bCs/>
          <w:sz w:val="16"/>
          <w:szCs w:val="16"/>
        </w:rPr>
        <w:t>ISRAEL EVANGELISTA DA SILVA</w:t>
      </w:r>
      <w:r>
        <w:rPr>
          <w:rStyle w:val="Forte"/>
          <w:rFonts w:eastAsiaTheme="majorEastAsia"/>
          <w:color w:val="000000"/>
          <w:sz w:val="27"/>
          <w:szCs w:val="27"/>
        </w:rPr>
        <w:t> </w:t>
      </w:r>
      <w:r w:rsidR="00B81155">
        <w:rPr>
          <w:rFonts w:ascii="Arial" w:hAnsi="Arial" w:cs="Arial"/>
          <w:b/>
          <w:bCs/>
          <w:color w:val="000000"/>
          <w:sz w:val="16"/>
          <w:szCs w:val="16"/>
        </w:rPr>
        <w:tab/>
      </w:r>
      <w:r w:rsidR="00B81155">
        <w:rPr>
          <w:rFonts w:ascii="Arial" w:hAnsi="Arial" w:cs="Arial"/>
          <w:b/>
          <w:bCs/>
          <w:color w:val="000000"/>
          <w:sz w:val="16"/>
          <w:szCs w:val="16"/>
        </w:rPr>
        <w:tab/>
      </w:r>
      <w:r>
        <w:rPr>
          <w:rFonts w:ascii="Arial" w:hAnsi="Arial" w:cs="Arial"/>
          <w:b/>
          <w:bCs/>
          <w:color w:val="000000"/>
          <w:sz w:val="16"/>
          <w:szCs w:val="16"/>
        </w:rPr>
        <w:t xml:space="preserve">                 </w:t>
      </w:r>
      <w:r w:rsidRPr="00187082">
        <w:rPr>
          <w:rFonts w:ascii="Arial" w:hAnsi="Arial" w:cs="Arial"/>
          <w:b/>
          <w:sz w:val="16"/>
          <w:szCs w:val="16"/>
        </w:rPr>
        <w:t>GENEAN PRESTES DOS SANTOS</w:t>
      </w:r>
      <w:r>
        <w:rPr>
          <w:rStyle w:val="Forte"/>
          <w:rFonts w:eastAsiaTheme="majorEastAsia"/>
          <w:color w:val="000000"/>
          <w:sz w:val="27"/>
          <w:szCs w:val="27"/>
        </w:rPr>
        <w:t> </w:t>
      </w:r>
    </w:p>
    <w:p w:rsidR="00E746DF" w:rsidRDefault="00B81155" w:rsidP="00502DD0">
      <w:pPr>
        <w:ind w:right="47"/>
        <w:rPr>
          <w:rFonts w:ascii="Arial" w:hAnsi="Arial" w:cs="Arial"/>
          <w:bCs/>
          <w:color w:val="000000"/>
          <w:sz w:val="16"/>
          <w:szCs w:val="16"/>
        </w:rPr>
      </w:pPr>
      <w:r>
        <w:rPr>
          <w:rFonts w:ascii="Arial" w:hAnsi="Arial" w:cs="Arial"/>
          <w:bCs/>
          <w:color w:val="000000"/>
          <w:sz w:val="16"/>
          <w:szCs w:val="16"/>
        </w:rPr>
        <w:t>Superint</w:t>
      </w:r>
      <w:r w:rsidR="00187082">
        <w:rPr>
          <w:rFonts w:ascii="Arial" w:hAnsi="Arial" w:cs="Arial"/>
          <w:bCs/>
          <w:color w:val="000000"/>
          <w:sz w:val="16"/>
          <w:szCs w:val="16"/>
        </w:rPr>
        <w:t>endente Estadual de Licitações Interino</w:t>
      </w:r>
      <w:r w:rsidR="00187082">
        <w:rPr>
          <w:rFonts w:ascii="Arial" w:hAnsi="Arial" w:cs="Arial"/>
          <w:bCs/>
          <w:color w:val="000000"/>
          <w:sz w:val="16"/>
          <w:szCs w:val="16"/>
        </w:rPr>
        <w:tab/>
        <w:t xml:space="preserve">                 </w:t>
      </w:r>
      <w:r>
        <w:rPr>
          <w:rFonts w:ascii="Arial" w:hAnsi="Arial" w:cs="Arial"/>
          <w:bCs/>
          <w:color w:val="000000"/>
          <w:sz w:val="16"/>
          <w:szCs w:val="16"/>
        </w:rPr>
        <w:t>Coordenadora de Sistem</w:t>
      </w:r>
      <w:r w:rsidR="00187082">
        <w:rPr>
          <w:rFonts w:ascii="Arial" w:hAnsi="Arial" w:cs="Arial"/>
          <w:bCs/>
          <w:color w:val="000000"/>
          <w:sz w:val="16"/>
          <w:szCs w:val="16"/>
        </w:rPr>
        <w:t xml:space="preserve">a de Registro de Preços </w:t>
      </w:r>
    </w:p>
    <w:p w:rsidR="00187082" w:rsidRPr="00187082" w:rsidRDefault="00187082" w:rsidP="00502DD0">
      <w:pPr>
        <w:ind w:right="47"/>
        <w:rPr>
          <w:rFonts w:ascii="Arial" w:hAnsi="Arial" w:cs="Arial"/>
          <w:bCs/>
          <w:color w:val="000000"/>
          <w:sz w:val="16"/>
          <w:szCs w:val="16"/>
        </w:rPr>
      </w:pPr>
    </w:p>
    <w:p w:rsidR="00876638" w:rsidRPr="00FE1B9F" w:rsidRDefault="00876638" w:rsidP="009D2314">
      <w:pPr>
        <w:ind w:right="47"/>
        <w:jc w:val="both"/>
        <w:rPr>
          <w:rFonts w:ascii="Arial" w:hAnsi="Arial" w:cs="Arial"/>
          <w:b/>
          <w:bCs/>
          <w:color w:val="000000"/>
          <w:sz w:val="16"/>
          <w:szCs w:val="16"/>
        </w:rPr>
      </w:pPr>
    </w:p>
    <w:p w:rsidR="009D2314" w:rsidRPr="00FE1B9F" w:rsidRDefault="009D2314" w:rsidP="009D2314">
      <w:pPr>
        <w:ind w:right="47"/>
        <w:jc w:val="both"/>
        <w:rPr>
          <w:rFonts w:ascii="Arial" w:hAnsi="Arial" w:cs="Arial"/>
          <w:b/>
          <w:bCs/>
          <w:color w:val="000000"/>
          <w:sz w:val="16"/>
          <w:szCs w:val="16"/>
        </w:rPr>
      </w:pPr>
      <w:r w:rsidRPr="00FE1B9F">
        <w:rPr>
          <w:rFonts w:ascii="Arial" w:hAnsi="Arial" w:cs="Arial"/>
          <w:b/>
          <w:bCs/>
          <w:color w:val="000000"/>
          <w:sz w:val="16"/>
          <w:szCs w:val="16"/>
        </w:rPr>
        <w:t>EMPRESA</w:t>
      </w:r>
      <w:r w:rsidR="00490488" w:rsidRPr="00FE1B9F">
        <w:rPr>
          <w:rFonts w:ascii="Arial" w:hAnsi="Arial" w:cs="Arial"/>
          <w:b/>
          <w:bCs/>
          <w:color w:val="000000"/>
          <w:sz w:val="16"/>
          <w:szCs w:val="16"/>
        </w:rPr>
        <w:t>(S)</w:t>
      </w:r>
      <w:r w:rsidR="004C43D9" w:rsidRPr="00FE1B9F">
        <w:rPr>
          <w:rFonts w:ascii="Arial" w:hAnsi="Arial" w:cs="Arial"/>
          <w:b/>
          <w:bCs/>
          <w:color w:val="000000"/>
          <w:sz w:val="16"/>
          <w:szCs w:val="16"/>
        </w:rPr>
        <w:t xml:space="preserve"> DETENTORA</w:t>
      </w:r>
      <w:r w:rsidR="00490488" w:rsidRPr="00FE1B9F">
        <w:rPr>
          <w:rFonts w:ascii="Arial" w:hAnsi="Arial" w:cs="Arial"/>
          <w:b/>
          <w:bCs/>
          <w:color w:val="000000"/>
          <w:sz w:val="16"/>
          <w:szCs w:val="16"/>
        </w:rPr>
        <w:t>(S)</w:t>
      </w:r>
      <w:r w:rsidRPr="00FE1B9F">
        <w:rPr>
          <w:rFonts w:ascii="Arial" w:hAnsi="Arial" w:cs="Arial"/>
          <w:b/>
          <w:bCs/>
          <w:color w:val="000000"/>
          <w:sz w:val="16"/>
          <w:szCs w:val="16"/>
        </w:rPr>
        <w:t>:</w:t>
      </w:r>
    </w:p>
    <w:p w:rsidR="009D2314" w:rsidRPr="00FE1B9F" w:rsidRDefault="002B37D9" w:rsidP="00526790">
      <w:pPr>
        <w:ind w:right="47"/>
        <w:jc w:val="both"/>
        <w:rPr>
          <w:rFonts w:ascii="Arial" w:hAnsi="Arial" w:cs="Arial"/>
          <w:b/>
          <w:bCs/>
          <w:color w:val="000000"/>
          <w:sz w:val="16"/>
          <w:szCs w:val="16"/>
        </w:rPr>
      </w:pPr>
      <w:r w:rsidRPr="00FE1B9F">
        <w:rPr>
          <w:rFonts w:ascii="Arial" w:hAnsi="Arial" w:cs="Arial"/>
          <w:b/>
          <w:bCs/>
          <w:color w:val="000000"/>
          <w:sz w:val="16"/>
          <w:szCs w:val="16"/>
        </w:rPr>
        <w:t>Qualificada</w:t>
      </w:r>
      <w:r w:rsidR="00490488" w:rsidRPr="00FE1B9F">
        <w:rPr>
          <w:rFonts w:ascii="Arial" w:hAnsi="Arial" w:cs="Arial"/>
          <w:b/>
          <w:bCs/>
          <w:color w:val="000000"/>
          <w:sz w:val="16"/>
          <w:szCs w:val="16"/>
        </w:rPr>
        <w:t>(s)</w:t>
      </w:r>
      <w:r w:rsidRPr="00FE1B9F">
        <w:rPr>
          <w:rFonts w:ascii="Arial" w:hAnsi="Arial" w:cs="Arial"/>
          <w:b/>
          <w:bCs/>
          <w:color w:val="000000"/>
          <w:sz w:val="16"/>
          <w:szCs w:val="16"/>
        </w:rPr>
        <w:t xml:space="preserve"> no Anexo Único desta Ata</w:t>
      </w:r>
    </w:p>
    <w:p w:rsidR="00F14932" w:rsidRDefault="00F14932" w:rsidP="00526790">
      <w:pPr>
        <w:ind w:right="47"/>
        <w:jc w:val="both"/>
        <w:rPr>
          <w:rFonts w:ascii="Arial" w:hAnsi="Arial" w:cs="Arial"/>
          <w:b/>
          <w:bCs/>
          <w:color w:val="000000"/>
          <w:sz w:val="12"/>
          <w:szCs w:val="12"/>
        </w:rPr>
      </w:pPr>
    </w:p>
    <w:p w:rsidR="00F14932" w:rsidRDefault="00F14932" w:rsidP="00526790">
      <w:pPr>
        <w:ind w:right="47"/>
        <w:jc w:val="both"/>
        <w:rPr>
          <w:rFonts w:ascii="Arial" w:hAnsi="Arial" w:cs="Arial"/>
          <w:b/>
          <w:bCs/>
          <w:color w:val="000000"/>
          <w:sz w:val="12"/>
          <w:szCs w:val="12"/>
        </w:rPr>
      </w:pPr>
    </w:p>
    <w:p w:rsidR="00C50BF7" w:rsidRPr="003A19C4" w:rsidRDefault="00274EF8" w:rsidP="00526790">
      <w:pPr>
        <w:ind w:right="47"/>
        <w:jc w:val="both"/>
        <w:rPr>
          <w:rFonts w:ascii="Arial" w:hAnsi="Arial" w:cs="Arial"/>
          <w:b/>
          <w:bCs/>
          <w:color w:val="000000"/>
          <w:sz w:val="12"/>
          <w:szCs w:val="12"/>
        </w:rPr>
      </w:pPr>
      <w:r>
        <w:rPr>
          <w:rFonts w:ascii="Arial" w:hAnsi="Arial" w:cs="Arial"/>
          <w:b/>
          <w:bCs/>
          <w:color w:val="000000"/>
          <w:sz w:val="12"/>
          <w:szCs w:val="12"/>
        </w:rPr>
        <w:t>FBM</w:t>
      </w:r>
      <w:bookmarkStart w:id="1" w:name="_GoBack"/>
      <w:bookmarkEnd w:id="1"/>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11C3" w:rsidRDefault="00B411C3">
      <w:r>
        <w:separator/>
      </w:r>
    </w:p>
  </w:endnote>
  <w:endnote w:type="continuationSeparator" w:id="0">
    <w:p w:rsidR="00B411C3" w:rsidRDefault="00B41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11C3" w:rsidRDefault="00B411C3">
      <w:r>
        <w:separator/>
      </w:r>
    </w:p>
  </w:footnote>
  <w:footnote w:type="continuationSeparator" w:id="0">
    <w:p w:rsidR="00B411C3" w:rsidRDefault="00B411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0C06B65"/>
    <w:multiLevelType w:val="multilevel"/>
    <w:tmpl w:val="B83684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14F318E"/>
    <w:multiLevelType w:val="multilevel"/>
    <w:tmpl w:val="A1D845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663143D"/>
    <w:multiLevelType w:val="multilevel"/>
    <w:tmpl w:val="3E6072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1FB35EC"/>
    <w:multiLevelType w:val="multilevel"/>
    <w:tmpl w:val="956243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2F1742E"/>
    <w:multiLevelType w:val="multilevel"/>
    <w:tmpl w:val="A22845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70743F4"/>
    <w:multiLevelType w:val="multilevel"/>
    <w:tmpl w:val="38708D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A0C7BDD"/>
    <w:multiLevelType w:val="multilevel"/>
    <w:tmpl w:val="3B381D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C5816F8"/>
    <w:multiLevelType w:val="multilevel"/>
    <w:tmpl w:val="D1E613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2AF3BFE"/>
    <w:multiLevelType w:val="multilevel"/>
    <w:tmpl w:val="6ED665D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F8B12CF"/>
    <w:multiLevelType w:val="multilevel"/>
    <w:tmpl w:val="9B046D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7F43984"/>
    <w:multiLevelType w:val="multilevel"/>
    <w:tmpl w:val="814849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FB71446"/>
    <w:multiLevelType w:val="multilevel"/>
    <w:tmpl w:val="F294DF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99D46F6"/>
    <w:multiLevelType w:val="multilevel"/>
    <w:tmpl w:val="1B8ADC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1"/>
  </w:num>
  <w:num w:numId="2">
    <w:abstractNumId w:val="1"/>
    <w:lvlOverride w:ilvl="0">
      <w:startOverride w:val="2"/>
    </w:lvlOverride>
  </w:num>
  <w:num w:numId="3">
    <w:abstractNumId w:val="2"/>
    <w:lvlOverride w:ilvl="0">
      <w:startOverride w:val="3"/>
    </w:lvlOverride>
  </w:num>
  <w:num w:numId="4">
    <w:abstractNumId w:val="7"/>
    <w:lvlOverride w:ilvl="0">
      <w:startOverride w:val="4"/>
    </w:lvlOverride>
  </w:num>
  <w:num w:numId="5">
    <w:abstractNumId w:val="6"/>
    <w:lvlOverride w:ilvl="0">
      <w:startOverride w:val="5"/>
    </w:lvlOverride>
  </w:num>
  <w:num w:numId="6">
    <w:abstractNumId w:val="3"/>
    <w:lvlOverride w:ilvl="0">
      <w:startOverride w:val="6"/>
    </w:lvlOverride>
  </w:num>
  <w:num w:numId="7">
    <w:abstractNumId w:val="9"/>
  </w:num>
  <w:num w:numId="8">
    <w:abstractNumId w:val="5"/>
  </w:num>
  <w:num w:numId="9">
    <w:abstractNumId w:val="13"/>
    <w:lvlOverride w:ilvl="0">
      <w:startOverride w:val="2"/>
    </w:lvlOverride>
  </w:num>
  <w:num w:numId="10">
    <w:abstractNumId w:val="8"/>
    <w:lvlOverride w:ilvl="0">
      <w:startOverride w:val="3"/>
    </w:lvlOverride>
  </w:num>
  <w:num w:numId="11">
    <w:abstractNumId w:val="4"/>
    <w:lvlOverride w:ilvl="0">
      <w:startOverride w:val="4"/>
    </w:lvlOverride>
  </w:num>
  <w:num w:numId="12">
    <w:abstractNumId w:val="12"/>
    <w:lvlOverride w:ilvl="0">
      <w:startOverride w:val="5"/>
    </w:lvlOverride>
  </w:num>
  <w:num w:numId="13">
    <w:abstractNumId w:val="10"/>
    <w:lvlOverride w:ilvl="0">
      <w:startOverride w:val="6"/>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5A0E"/>
    <w:rsid w:val="00060DA6"/>
    <w:rsid w:val="00062ED3"/>
    <w:rsid w:val="00063355"/>
    <w:rsid w:val="000637BD"/>
    <w:rsid w:val="00066D61"/>
    <w:rsid w:val="00067B8E"/>
    <w:rsid w:val="00071315"/>
    <w:rsid w:val="0007170D"/>
    <w:rsid w:val="000718F6"/>
    <w:rsid w:val="00074BB2"/>
    <w:rsid w:val="00077082"/>
    <w:rsid w:val="000840C3"/>
    <w:rsid w:val="000905D8"/>
    <w:rsid w:val="000A160C"/>
    <w:rsid w:val="000A2283"/>
    <w:rsid w:val="000A2F6A"/>
    <w:rsid w:val="000A6C06"/>
    <w:rsid w:val="000A6D1C"/>
    <w:rsid w:val="000A7726"/>
    <w:rsid w:val="000A7C7C"/>
    <w:rsid w:val="000B1908"/>
    <w:rsid w:val="000B2688"/>
    <w:rsid w:val="000B3453"/>
    <w:rsid w:val="000B7916"/>
    <w:rsid w:val="000C0E03"/>
    <w:rsid w:val="000C3011"/>
    <w:rsid w:val="000C6CDD"/>
    <w:rsid w:val="000D04E2"/>
    <w:rsid w:val="000D6832"/>
    <w:rsid w:val="000E1460"/>
    <w:rsid w:val="000E1818"/>
    <w:rsid w:val="000E6330"/>
    <w:rsid w:val="000E643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451C"/>
    <w:rsid w:val="00186F55"/>
    <w:rsid w:val="00187082"/>
    <w:rsid w:val="0019003B"/>
    <w:rsid w:val="00190648"/>
    <w:rsid w:val="0019378A"/>
    <w:rsid w:val="001945CC"/>
    <w:rsid w:val="00196276"/>
    <w:rsid w:val="001A0C25"/>
    <w:rsid w:val="001A4EC2"/>
    <w:rsid w:val="001A63B1"/>
    <w:rsid w:val="001B1455"/>
    <w:rsid w:val="001C0B88"/>
    <w:rsid w:val="001C18CF"/>
    <w:rsid w:val="001C2D5C"/>
    <w:rsid w:val="001C3471"/>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74EF8"/>
    <w:rsid w:val="00282B83"/>
    <w:rsid w:val="0028355D"/>
    <w:rsid w:val="00284428"/>
    <w:rsid w:val="00286A75"/>
    <w:rsid w:val="002876A8"/>
    <w:rsid w:val="00294FBA"/>
    <w:rsid w:val="002A000F"/>
    <w:rsid w:val="002A1D6C"/>
    <w:rsid w:val="002A1E7F"/>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A32"/>
    <w:rsid w:val="00321F96"/>
    <w:rsid w:val="0032253C"/>
    <w:rsid w:val="00323749"/>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21B4"/>
    <w:rsid w:val="003725DB"/>
    <w:rsid w:val="003751B5"/>
    <w:rsid w:val="003820A7"/>
    <w:rsid w:val="003860D7"/>
    <w:rsid w:val="0039010C"/>
    <w:rsid w:val="00395C4B"/>
    <w:rsid w:val="003968C7"/>
    <w:rsid w:val="003977B2"/>
    <w:rsid w:val="00397D1E"/>
    <w:rsid w:val="003A19C4"/>
    <w:rsid w:val="003A2E4C"/>
    <w:rsid w:val="003A40B9"/>
    <w:rsid w:val="003A4DB9"/>
    <w:rsid w:val="003A6469"/>
    <w:rsid w:val="003A6A80"/>
    <w:rsid w:val="003B4751"/>
    <w:rsid w:val="003B4B40"/>
    <w:rsid w:val="003B4FB5"/>
    <w:rsid w:val="003B608D"/>
    <w:rsid w:val="003B68BB"/>
    <w:rsid w:val="003B724B"/>
    <w:rsid w:val="003C3A9C"/>
    <w:rsid w:val="003C7ECE"/>
    <w:rsid w:val="003D2D98"/>
    <w:rsid w:val="003D6E59"/>
    <w:rsid w:val="003E2102"/>
    <w:rsid w:val="003F258C"/>
    <w:rsid w:val="003F75F4"/>
    <w:rsid w:val="003F77C8"/>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93A"/>
    <w:rsid w:val="004370A2"/>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7E48"/>
    <w:rsid w:val="004711F6"/>
    <w:rsid w:val="004741FB"/>
    <w:rsid w:val="004850D0"/>
    <w:rsid w:val="004869B4"/>
    <w:rsid w:val="0048752A"/>
    <w:rsid w:val="0049023D"/>
    <w:rsid w:val="00490488"/>
    <w:rsid w:val="004925D2"/>
    <w:rsid w:val="004A2A71"/>
    <w:rsid w:val="004A3852"/>
    <w:rsid w:val="004B50C5"/>
    <w:rsid w:val="004C43D9"/>
    <w:rsid w:val="004C7466"/>
    <w:rsid w:val="004D097B"/>
    <w:rsid w:val="004D3087"/>
    <w:rsid w:val="004D3339"/>
    <w:rsid w:val="004D3DE4"/>
    <w:rsid w:val="004D436B"/>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305"/>
    <w:rsid w:val="00554CC0"/>
    <w:rsid w:val="00563419"/>
    <w:rsid w:val="00570245"/>
    <w:rsid w:val="00571745"/>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6399"/>
    <w:rsid w:val="005B6F6D"/>
    <w:rsid w:val="005C080E"/>
    <w:rsid w:val="005C42CC"/>
    <w:rsid w:val="005C4B95"/>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5F65F8"/>
    <w:rsid w:val="006024EA"/>
    <w:rsid w:val="00603302"/>
    <w:rsid w:val="006044C3"/>
    <w:rsid w:val="00606CE6"/>
    <w:rsid w:val="00611152"/>
    <w:rsid w:val="00620EE6"/>
    <w:rsid w:val="00621F6B"/>
    <w:rsid w:val="00624726"/>
    <w:rsid w:val="00624815"/>
    <w:rsid w:val="006264B5"/>
    <w:rsid w:val="00626615"/>
    <w:rsid w:val="00627D85"/>
    <w:rsid w:val="00627D90"/>
    <w:rsid w:val="00631544"/>
    <w:rsid w:val="006320F6"/>
    <w:rsid w:val="00635335"/>
    <w:rsid w:val="006353C6"/>
    <w:rsid w:val="006406CB"/>
    <w:rsid w:val="00640DDE"/>
    <w:rsid w:val="00641936"/>
    <w:rsid w:val="0064512C"/>
    <w:rsid w:val="00651F1E"/>
    <w:rsid w:val="006545D7"/>
    <w:rsid w:val="006549FE"/>
    <w:rsid w:val="00663572"/>
    <w:rsid w:val="00663BA7"/>
    <w:rsid w:val="0066453C"/>
    <w:rsid w:val="00665863"/>
    <w:rsid w:val="0066615F"/>
    <w:rsid w:val="006666FB"/>
    <w:rsid w:val="00667902"/>
    <w:rsid w:val="006718A7"/>
    <w:rsid w:val="00674210"/>
    <w:rsid w:val="00677FDF"/>
    <w:rsid w:val="00680691"/>
    <w:rsid w:val="006824AE"/>
    <w:rsid w:val="0068501A"/>
    <w:rsid w:val="0068550D"/>
    <w:rsid w:val="006855E5"/>
    <w:rsid w:val="0069072F"/>
    <w:rsid w:val="00690CC3"/>
    <w:rsid w:val="00693C19"/>
    <w:rsid w:val="00696376"/>
    <w:rsid w:val="006A0A97"/>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D1053"/>
    <w:rsid w:val="006D1FB2"/>
    <w:rsid w:val="006D5469"/>
    <w:rsid w:val="006D6FE5"/>
    <w:rsid w:val="006E6225"/>
    <w:rsid w:val="006E65B3"/>
    <w:rsid w:val="006F0728"/>
    <w:rsid w:val="006F19C3"/>
    <w:rsid w:val="006F3BF6"/>
    <w:rsid w:val="00701320"/>
    <w:rsid w:val="00702065"/>
    <w:rsid w:val="007132F5"/>
    <w:rsid w:val="0072061A"/>
    <w:rsid w:val="0072067D"/>
    <w:rsid w:val="00722F33"/>
    <w:rsid w:val="00726DBB"/>
    <w:rsid w:val="00727AD4"/>
    <w:rsid w:val="007305D5"/>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1360"/>
    <w:rsid w:val="008728BA"/>
    <w:rsid w:val="00873EE0"/>
    <w:rsid w:val="00875016"/>
    <w:rsid w:val="0087619B"/>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5033"/>
    <w:rsid w:val="009274AC"/>
    <w:rsid w:val="00930E5A"/>
    <w:rsid w:val="00931D32"/>
    <w:rsid w:val="009327AC"/>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929D5"/>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372BB"/>
    <w:rsid w:val="00A41308"/>
    <w:rsid w:val="00A43BC1"/>
    <w:rsid w:val="00A44BCD"/>
    <w:rsid w:val="00A475E0"/>
    <w:rsid w:val="00A523DE"/>
    <w:rsid w:val="00A52F4F"/>
    <w:rsid w:val="00A56F16"/>
    <w:rsid w:val="00A60041"/>
    <w:rsid w:val="00A615EC"/>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F57"/>
    <w:rsid w:val="00AC04A8"/>
    <w:rsid w:val="00AC4419"/>
    <w:rsid w:val="00AC50A6"/>
    <w:rsid w:val="00AC50A9"/>
    <w:rsid w:val="00AC6A94"/>
    <w:rsid w:val="00AC7004"/>
    <w:rsid w:val="00AD0282"/>
    <w:rsid w:val="00AD3BD6"/>
    <w:rsid w:val="00AD47CE"/>
    <w:rsid w:val="00AE2687"/>
    <w:rsid w:val="00AE399A"/>
    <w:rsid w:val="00AE42DC"/>
    <w:rsid w:val="00AF0FE7"/>
    <w:rsid w:val="00AF3238"/>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61314"/>
    <w:rsid w:val="00B62C75"/>
    <w:rsid w:val="00B62E48"/>
    <w:rsid w:val="00B65B17"/>
    <w:rsid w:val="00B67B75"/>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04224"/>
    <w:rsid w:val="00C078CD"/>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206"/>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47E1"/>
    <w:rsid w:val="00D678C8"/>
    <w:rsid w:val="00D7089B"/>
    <w:rsid w:val="00D74634"/>
    <w:rsid w:val="00D75B36"/>
    <w:rsid w:val="00D77206"/>
    <w:rsid w:val="00D85856"/>
    <w:rsid w:val="00D85EEE"/>
    <w:rsid w:val="00D93EB7"/>
    <w:rsid w:val="00D961FE"/>
    <w:rsid w:val="00D97096"/>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3C85"/>
    <w:rsid w:val="00E25115"/>
    <w:rsid w:val="00E25C85"/>
    <w:rsid w:val="00E40F89"/>
    <w:rsid w:val="00E4549A"/>
    <w:rsid w:val="00E464A7"/>
    <w:rsid w:val="00E522A9"/>
    <w:rsid w:val="00E542CE"/>
    <w:rsid w:val="00E54C83"/>
    <w:rsid w:val="00E55E7F"/>
    <w:rsid w:val="00E717DD"/>
    <w:rsid w:val="00E71CF0"/>
    <w:rsid w:val="00E727D5"/>
    <w:rsid w:val="00E72C3A"/>
    <w:rsid w:val="00E732A9"/>
    <w:rsid w:val="00E746DF"/>
    <w:rsid w:val="00E75AD6"/>
    <w:rsid w:val="00E84C70"/>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F2B1B"/>
    <w:rsid w:val="00EF2CDF"/>
    <w:rsid w:val="00EF31D4"/>
    <w:rsid w:val="00EF3583"/>
    <w:rsid w:val="00EF4B37"/>
    <w:rsid w:val="00F010ED"/>
    <w:rsid w:val="00F03896"/>
    <w:rsid w:val="00F03D5F"/>
    <w:rsid w:val="00F111D9"/>
    <w:rsid w:val="00F143B7"/>
    <w:rsid w:val="00F14932"/>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C222E"/>
    <w:rsid w:val="00FC2946"/>
    <w:rsid w:val="00FD11D0"/>
    <w:rsid w:val="00FD3BEC"/>
    <w:rsid w:val="00FD57B7"/>
    <w:rsid w:val="00FD59F7"/>
    <w:rsid w:val="00FD5AAC"/>
    <w:rsid w:val="00FE115E"/>
    <w:rsid w:val="00FE1B9F"/>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295796721">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61314186">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15427150">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94891988">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90656158">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5448266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FF22659-0A9F-4615-8474-2F7EE0589B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3259</Words>
  <Characters>18427</Characters>
  <Application>Microsoft Office Word</Application>
  <DocSecurity>0</DocSecurity>
  <Lines>153</Lines>
  <Paragraphs>43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21643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Marcos Silva Almeida Junior</cp:lastModifiedBy>
  <cp:revision>3</cp:revision>
  <cp:lastPrinted>2019-12-30T17:05:00Z</cp:lastPrinted>
  <dcterms:created xsi:type="dcterms:W3CDTF">2021-03-29T13:17:00Z</dcterms:created>
  <dcterms:modified xsi:type="dcterms:W3CDTF">2021-03-29T13:18:00Z</dcterms:modified>
</cp:coreProperties>
</file>