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4D436B" w:rsidRPr="004D436B" w:rsidRDefault="004D436B" w:rsidP="004D436B">
      <w:pPr>
        <w:spacing w:before="120" w:after="120"/>
        <w:ind w:left="120" w:right="120"/>
        <w:jc w:val="both"/>
        <w:rPr>
          <w:rFonts w:ascii="Arial" w:hAnsi="Arial" w:cs="Arial"/>
          <w:b/>
          <w:bCs/>
          <w:color w:val="000000"/>
          <w:sz w:val="16"/>
          <w:szCs w:val="16"/>
        </w:rPr>
      </w:pPr>
      <w:r w:rsidRPr="004D436B">
        <w:rPr>
          <w:rFonts w:ascii="Arial" w:hAnsi="Arial" w:cs="Arial"/>
          <w:b/>
          <w:bCs/>
          <w:color w:val="000000"/>
          <w:sz w:val="16"/>
          <w:szCs w:val="16"/>
        </w:rPr>
        <w:t>ATA DE REGISTRO DE PREÇOS Nº 070/2021</w:t>
      </w:r>
    </w:p>
    <w:p w:rsidR="004D436B" w:rsidRPr="004D436B" w:rsidRDefault="004D436B" w:rsidP="004D436B">
      <w:pPr>
        <w:spacing w:before="120" w:after="120"/>
        <w:ind w:left="120" w:right="120"/>
        <w:jc w:val="both"/>
        <w:rPr>
          <w:rFonts w:ascii="Arial" w:hAnsi="Arial" w:cs="Arial"/>
          <w:b/>
          <w:bCs/>
          <w:color w:val="000000"/>
          <w:sz w:val="16"/>
          <w:szCs w:val="16"/>
        </w:rPr>
      </w:pPr>
      <w:r w:rsidRPr="004D436B">
        <w:rPr>
          <w:rFonts w:ascii="Arial" w:hAnsi="Arial" w:cs="Arial"/>
          <w:b/>
          <w:bCs/>
          <w:color w:val="000000"/>
          <w:sz w:val="16"/>
          <w:szCs w:val="16"/>
        </w:rPr>
        <w:t>PREGÃO ELETRÔNICO Nº 527/2020</w:t>
      </w:r>
    </w:p>
    <w:p w:rsidR="004D436B" w:rsidRPr="004D436B" w:rsidRDefault="004D436B" w:rsidP="004D436B">
      <w:pPr>
        <w:spacing w:before="120" w:after="120"/>
        <w:ind w:left="120" w:right="120"/>
        <w:jc w:val="both"/>
        <w:rPr>
          <w:rFonts w:ascii="Arial" w:hAnsi="Arial" w:cs="Arial"/>
          <w:b/>
          <w:bCs/>
          <w:color w:val="000000"/>
          <w:sz w:val="16"/>
          <w:szCs w:val="16"/>
        </w:rPr>
      </w:pPr>
      <w:r w:rsidRPr="004D436B">
        <w:rPr>
          <w:rFonts w:ascii="Arial" w:hAnsi="Arial" w:cs="Arial"/>
          <w:b/>
          <w:bCs/>
          <w:color w:val="000000"/>
          <w:sz w:val="16"/>
          <w:szCs w:val="16"/>
        </w:rPr>
        <w:t>PROCESSO Nº 0043.291447/2020-33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Pelo presente instrumento, o ESTADO DE RONDÔNIA, através da SUPERINTENDÊNCIA ESTADUAL DE COMPRAS 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Material para Manutenção Predial (material básico: areia, cimento, brita e outros e acabamento) constantes na tabela SINAPI, para atender aos órgãos da Administração Direta e Indireta do Governo do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 DO OBJETO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Registro de Preços para Futura e Eventual Aquisição de Material para Manutenção Predial (material básico: areia, cimento, brita e outros e acabamento) constantes na tabela SINAPI, para atender aos órgãos da Administração Direta e Indireta do Governo do Estado de Rondônia.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2. DA VIGÊNCIA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2.1. O presente Registro de Preços terá validade de 12 (doze) meses, contados a partir de sua publicação no Diário Oficial do Estado.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3. DA GERÊNCIA DA PRESENTE ATA DE REGISTRO DE PREÇOS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4D436B">
        <w:rPr>
          <w:rFonts w:ascii="Arial" w:hAnsi="Arial" w:cs="Arial"/>
          <w:bCs/>
          <w:color w:val="000000"/>
          <w:sz w:val="16"/>
          <w:szCs w:val="16"/>
        </w:rPr>
        <w:t>18.340/13 artigo</w:t>
      </w:r>
      <w:proofErr w:type="gramEnd"/>
      <w:r w:rsidRPr="004D436B">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4. DA ESPECIFICAÇÃO, QUANTIDADE E PREÇO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4.1. O preço, a quantidade, o fornecedor e a especificação do </w:t>
      </w:r>
      <w:proofErr w:type="spellStart"/>
      <w:r w:rsidRPr="004D436B">
        <w:rPr>
          <w:rFonts w:ascii="Arial" w:hAnsi="Arial" w:cs="Arial"/>
          <w:bCs/>
          <w:color w:val="000000"/>
          <w:sz w:val="16"/>
          <w:szCs w:val="16"/>
        </w:rPr>
        <w:t>ite</w:t>
      </w:r>
      <w:proofErr w:type="spellEnd"/>
      <w:r w:rsidRPr="004D436B">
        <w:rPr>
          <w:rFonts w:ascii="Arial" w:hAnsi="Arial" w:cs="Arial"/>
          <w:bCs/>
          <w:color w:val="000000"/>
          <w:sz w:val="16"/>
          <w:szCs w:val="16"/>
        </w:rPr>
        <w:t xml:space="preserve"> m registrado nesta Ata, encontram-se indicados no Anexo I deste instrumento.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5. PRAZOS E CONDIÇÕES DE FORNECIMENTO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A DETENTORA do registro de preços se obriga, nos termos do Edital e deste instrumento, 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5.1. Retirar a Nota de Empenho junto ao órgão solicitante no prazo de até 05 (cinco) dias, contados da convocação;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5.2. Iniciar o fornecimento do objeto dessa Ata, conforme prazo estabelecido no Termo de Referência e edital de licitações.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6. DO PRAZO, LOCAL DE ENTREGA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4D436B">
        <w:rPr>
          <w:rFonts w:ascii="Arial" w:hAnsi="Arial" w:cs="Arial"/>
          <w:bCs/>
          <w:color w:val="000000"/>
          <w:sz w:val="16"/>
          <w:szCs w:val="16"/>
        </w:rPr>
        <w:t>c</w:t>
      </w:r>
      <w:proofErr w:type="gramEnd"/>
      <w:r w:rsidRPr="004D436B">
        <w:rPr>
          <w:rFonts w:ascii="Arial" w:hAnsi="Arial" w:cs="Arial"/>
          <w:bCs/>
          <w:color w:val="000000"/>
          <w:sz w:val="16"/>
          <w:szCs w:val="16"/>
        </w:rPr>
        <w:t xml:space="preserve"> o art. 73 inciso II, “a” e “b”, da Lei 8.666/93 e alterações.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6.3. DO PRAZO DE ENTREGA: A entrega dos itens do objeto desta Ata, será de até 10 (dez) dias, contados da data do recebimento da Nota de Empenho ou assinatura do contrato. Este prazo poderá ser dilatado em casos excepcionais, mediante apresentação de justificativa, com concordância da Administração.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6.4. DO LOCAL DE ENTREGA: A entrega dos objetos deverá ser realizada no balcão indicado pelo fornecedor, em cada uma das localidades apontadas nos lotes.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7.  DAS CONDIÇÕES DE PAGAMENTO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7.1. A empresa detentora da Ata apresentará a Gerência Financeira do Órgão requisitante a nota fiscal referente ao fornecimento efetuado.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lastRenderedPageBreak/>
        <w:t>7.2. O respectivo Órgão terá o prazo de 10 (dez) dias úteis, a contar da apresentação da nota fiscal para aceitá-la ou rejeitá-la.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4D436B">
        <w:rPr>
          <w:rFonts w:ascii="Arial" w:hAnsi="Arial" w:cs="Arial"/>
          <w:bCs/>
          <w:color w:val="000000"/>
          <w:sz w:val="16"/>
          <w:szCs w:val="16"/>
        </w:rPr>
        <w:t>a</w:t>
      </w:r>
      <w:proofErr w:type="gramEnd"/>
      <w:r w:rsidRPr="004D436B">
        <w:rPr>
          <w:rFonts w:ascii="Arial" w:hAnsi="Arial" w:cs="Arial"/>
          <w:bCs/>
          <w:color w:val="000000"/>
          <w:sz w:val="16"/>
          <w:szCs w:val="16"/>
        </w:rPr>
        <w:t xml:space="preserve"> partir da data de sua reapresentação.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7.4. A devolução da nota fiscal não aprovada, em hipótese alguma, servirá de pretexto para que a empresa detentora da Ata suspenda quaisquer fornecimentos.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8.  DA DOTAÇÃO ORÇAMENTÁRIA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 DAS SANÇÕES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(Base Legal: art. 40, inciso III da Lei 8.666/93; art. 9º, V c/c § 2º do Decreto 5450/05; art. 3º, I, Lei 10520/02)</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 Além daquelas determinadas por leis, decretos, regulamentos e demais dispositivos legais, a CONTRATADA estará sujeita 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9.3. Se a adjudicatária </w:t>
      </w:r>
      <w:proofErr w:type="gramStart"/>
      <w:r w:rsidRPr="004D436B">
        <w:rPr>
          <w:rFonts w:ascii="Arial" w:hAnsi="Arial" w:cs="Arial"/>
          <w:bCs/>
          <w:color w:val="000000"/>
          <w:sz w:val="16"/>
          <w:szCs w:val="16"/>
        </w:rPr>
        <w:t>recusar-se</w:t>
      </w:r>
      <w:proofErr w:type="gramEnd"/>
      <w:r w:rsidRPr="004D436B">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9.9. São exemplos de infração administrativa penalizáveis, nos termos da Lei nº 8.666, de 1993, da Lei nº 10.520, de 2002, do Decreto nº 3.555, de 2000, e do Decreto nº 5.450, de 2005:</w:t>
      </w:r>
    </w:p>
    <w:p w:rsidR="004D436B" w:rsidRPr="004D436B" w:rsidRDefault="004D436B" w:rsidP="004D436B">
      <w:pPr>
        <w:spacing w:before="120" w:after="120"/>
        <w:ind w:left="1800" w:right="120"/>
        <w:jc w:val="both"/>
        <w:rPr>
          <w:rFonts w:ascii="Arial" w:hAnsi="Arial" w:cs="Arial"/>
          <w:bCs/>
          <w:color w:val="000000"/>
          <w:sz w:val="16"/>
          <w:szCs w:val="16"/>
        </w:rPr>
      </w:pPr>
      <w:r w:rsidRPr="004D436B">
        <w:rPr>
          <w:rFonts w:ascii="Arial" w:hAnsi="Arial" w:cs="Arial"/>
          <w:bCs/>
          <w:color w:val="000000"/>
          <w:sz w:val="16"/>
          <w:szCs w:val="16"/>
        </w:rPr>
        <w:t>Inexecução total ou parcial do contrato;</w:t>
      </w:r>
    </w:p>
    <w:p w:rsidR="004D436B" w:rsidRPr="004D436B" w:rsidRDefault="004D436B" w:rsidP="004D436B">
      <w:pPr>
        <w:spacing w:before="120" w:after="120"/>
        <w:ind w:left="1800" w:right="120"/>
        <w:jc w:val="both"/>
        <w:rPr>
          <w:rFonts w:ascii="Arial" w:hAnsi="Arial" w:cs="Arial"/>
          <w:bCs/>
          <w:color w:val="000000"/>
          <w:sz w:val="16"/>
          <w:szCs w:val="16"/>
        </w:rPr>
      </w:pPr>
      <w:r w:rsidRPr="004D436B">
        <w:rPr>
          <w:rFonts w:ascii="Arial" w:hAnsi="Arial" w:cs="Arial"/>
          <w:bCs/>
          <w:color w:val="000000"/>
          <w:sz w:val="16"/>
          <w:szCs w:val="16"/>
        </w:rPr>
        <w:t>Apresentação de documentação falsa;</w:t>
      </w:r>
    </w:p>
    <w:p w:rsidR="004D436B" w:rsidRPr="004D436B" w:rsidRDefault="004D436B" w:rsidP="004D436B">
      <w:pPr>
        <w:spacing w:before="120" w:after="120"/>
        <w:ind w:left="1800" w:right="120"/>
        <w:jc w:val="both"/>
        <w:rPr>
          <w:rFonts w:ascii="Arial" w:hAnsi="Arial" w:cs="Arial"/>
          <w:bCs/>
          <w:color w:val="000000"/>
          <w:sz w:val="16"/>
          <w:szCs w:val="16"/>
        </w:rPr>
      </w:pPr>
      <w:r w:rsidRPr="004D436B">
        <w:rPr>
          <w:rFonts w:ascii="Arial" w:hAnsi="Arial" w:cs="Arial"/>
          <w:bCs/>
          <w:color w:val="000000"/>
          <w:sz w:val="16"/>
          <w:szCs w:val="16"/>
        </w:rPr>
        <w:t>Comportamento inidôneo;</w:t>
      </w:r>
    </w:p>
    <w:p w:rsidR="004D436B" w:rsidRPr="004D436B" w:rsidRDefault="004D436B" w:rsidP="004D436B">
      <w:pPr>
        <w:spacing w:before="120" w:after="120"/>
        <w:ind w:left="1800" w:right="120"/>
        <w:jc w:val="both"/>
        <w:rPr>
          <w:rFonts w:ascii="Arial" w:hAnsi="Arial" w:cs="Arial"/>
          <w:bCs/>
          <w:color w:val="000000"/>
          <w:sz w:val="16"/>
          <w:szCs w:val="16"/>
        </w:rPr>
      </w:pPr>
      <w:r w:rsidRPr="004D436B">
        <w:rPr>
          <w:rFonts w:ascii="Arial" w:hAnsi="Arial" w:cs="Arial"/>
          <w:bCs/>
          <w:color w:val="000000"/>
          <w:sz w:val="16"/>
          <w:szCs w:val="16"/>
        </w:rPr>
        <w:t>Fraude fiscal;</w:t>
      </w:r>
    </w:p>
    <w:p w:rsidR="004D436B" w:rsidRPr="004D436B" w:rsidRDefault="004D436B" w:rsidP="004D436B">
      <w:pPr>
        <w:spacing w:before="120" w:after="120"/>
        <w:ind w:left="1800" w:right="120"/>
        <w:jc w:val="both"/>
        <w:rPr>
          <w:rFonts w:ascii="Arial" w:hAnsi="Arial" w:cs="Arial"/>
          <w:bCs/>
          <w:color w:val="000000"/>
          <w:sz w:val="16"/>
          <w:szCs w:val="16"/>
        </w:rPr>
      </w:pPr>
      <w:r w:rsidRPr="004D436B">
        <w:rPr>
          <w:rFonts w:ascii="Arial" w:hAnsi="Arial" w:cs="Arial"/>
          <w:bCs/>
          <w:color w:val="000000"/>
          <w:sz w:val="16"/>
          <w:szCs w:val="16"/>
        </w:rPr>
        <w:t>Descumprimento de qualquer dos deveres elencados no Edital ou no Contrato.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1"/>
        <w:gridCol w:w="7534"/>
        <w:gridCol w:w="733"/>
        <w:gridCol w:w="1049"/>
      </w:tblGrid>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MULTA*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8"/>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Permitir situação que crie a possibilidade ou cause </w:t>
            </w:r>
            <w:proofErr w:type="spellStart"/>
            <w:r w:rsidRPr="004D436B">
              <w:rPr>
                <w:rFonts w:ascii="Arial" w:hAnsi="Arial" w:cs="Arial"/>
                <w:bCs/>
                <w:color w:val="000000"/>
                <w:sz w:val="16"/>
                <w:szCs w:val="16"/>
              </w:rPr>
              <w:t>dano</w:t>
            </w:r>
            <w:proofErr w:type="spellEnd"/>
            <w:r w:rsidRPr="004D436B">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4,0%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9"/>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4,0%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10"/>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3,2%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11"/>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3,2%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12"/>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1,6%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numPr>
                <w:ilvl w:val="0"/>
                <w:numId w:val="13"/>
              </w:numPr>
              <w:spacing w:before="120" w:after="120"/>
              <w:ind w:left="840" w:right="120" w:firstLine="0"/>
              <w:jc w:val="both"/>
              <w:rPr>
                <w:rFonts w:ascii="Arial" w:hAnsi="Arial" w:cs="Arial"/>
                <w:bCs/>
                <w:color w:val="000000"/>
                <w:sz w:val="16"/>
                <w:szCs w:val="16"/>
              </w:rPr>
            </w:pPr>
            <w:r w:rsidRPr="004D436B">
              <w:rPr>
                <w:rFonts w:ascii="Arial" w:hAnsi="Arial" w:cs="Arial"/>
                <w:bCs/>
                <w:color w:val="000000"/>
                <w:sz w:val="16"/>
                <w:szCs w:val="16"/>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0,4% por dia</w:t>
            </w:r>
          </w:p>
        </w:tc>
      </w:tr>
      <w:tr w:rsidR="004D436B" w:rsidRPr="004D436B" w:rsidTr="004D436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Para os itens a seguir, deixar de:</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0,8 %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0,8 %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0,4 % por dia</w:t>
            </w:r>
          </w:p>
        </w:tc>
      </w:tr>
      <w:tr w:rsidR="004D436B" w:rsidRPr="004D436B" w:rsidTr="004D43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0,2 % por dia</w:t>
            </w:r>
          </w:p>
        </w:tc>
      </w:tr>
    </w:tbl>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Incidente sobre a parcela inadimplida.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9.12. As sanções aqui previstas poderão ser aplicadas concomitantemente, facultada a defesa prévia do interessado, no respectivo processo, no prazo de 05 (cinco) dias úteis.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9.13. Após 30 (trinta) dias da falta de execução do objeto, será considerada inexecução total do contrato, o que ensejará a rescisão contratual.</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9.17. A sanção será obrigatoriamente registrada no Sistema de Cadastramento Unificado de Fornecedores – SICAF, bem como em sistemas Estaduais.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9.19. Tenham sofrido condenações definitivas por praticarem, por meio dolosos, fraude fiscal no recolhimento de tributos;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9.20. Tenham praticado atos ilícitos visando a frustrar os objetivos da licitação</w:t>
      </w:r>
      <w:proofErr w:type="gramStart"/>
      <w:r w:rsidRPr="004D436B">
        <w:rPr>
          <w:rFonts w:ascii="Arial" w:hAnsi="Arial" w:cs="Arial"/>
          <w:bCs/>
          <w:color w:val="000000"/>
          <w:sz w:val="16"/>
          <w:szCs w:val="16"/>
        </w:rPr>
        <w:t>) Demonstrem</w:t>
      </w:r>
      <w:proofErr w:type="gramEnd"/>
      <w:r w:rsidRPr="004D436B">
        <w:rPr>
          <w:rFonts w:ascii="Arial" w:hAnsi="Arial" w:cs="Arial"/>
          <w:bCs/>
          <w:color w:val="000000"/>
          <w:sz w:val="16"/>
          <w:szCs w:val="16"/>
        </w:rPr>
        <w:t xml:space="preserve"> não possuir idoneidade para contratar com a Administração em virtude de atos ilícitos praticados;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9.21. Demonstrem não possuir idoneidade para contratar com a Administração em virtude de atos ilícitos praticados.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9.23. Na hipótese de apresentar documentação inverossímil ou de cometer fraude, o licitante poderá sofrer sem prejuízo da comunicação do ocorrido ao Ministério Público, quaisquer das sanções previstas, que poderão ser aplicadas cumulativamente.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9.24. Nenhuma sanção será aplicada sem o devido processo administrativo, que prevê defesa prévia do interessado e recurso nos prazos definidos em Lei, sendo-lhe franqueada vista ao processo.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 DA UTILIZAÇÃO DA ATA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10.2. Fica a Detentora ciente que a publicidade da ata de registro de preços na imprensa oficial terá efeito de compromisso nas condições ofertadas e pactuadas na proposta apresentada à licitação.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10.3. A Ata de Registro de Preços, os ajustes dela decorrentes, suas alterações e rescisões obedecerão ao Decreto Estadual 18.340/13, Lei Federal nº 8.666/93, demais normas complementares e disposições da Ata e do Edital que a precedeu, aplicáveis à execução e especialmente aos casos omissos.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10.4 O objeto registrado ficará restrito aos órgãos participantes, sendo vedada a adesão a órgãos não participantes da ata de registro de preços.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10.5. A ata de Registro de Preços terá validade de 12 (doze) meses, contados a partir de sua publicação no Diário Oficial do Estado.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10.6. A vigência dos contratos decorrentes do Sistema de Registro de Preços será definida nos instrumentos convocatórios, observado o artigo 57 da Lei 8.666, de 1993, conforme Decreto Estadual nº 18.340/13.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10.7. Após publicidade da Ata de Registro de Preços, poderão ser firmados os Contratos dela decorrente dentro do prazo de validade do Registro, cuja contratação será formalizada pelo Governo do Estado de Rondônia por meio de instrumento contratual, ou ainda, quando for o caso, pela emissão da nota de empenho, ordem de serviço ou outro instrumento similar, conforme dispõe o art. 62, da Lei nº. 8.666/93.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10.8. O licitante que tenha seus preços registrados obrigar-se-á a cumprir todas as condições dispostas na Ata de Registro de Preços, aplicando-os ao quantitativo solicitado pela Administração.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10.9. No ato da liberação de quantitativo do objeto </w:t>
      </w:r>
      <w:proofErr w:type="gramStart"/>
      <w:r w:rsidRPr="004D436B">
        <w:rPr>
          <w:rFonts w:ascii="Arial" w:hAnsi="Arial" w:cs="Arial"/>
          <w:bCs/>
          <w:color w:val="000000"/>
          <w:sz w:val="16"/>
          <w:szCs w:val="16"/>
        </w:rPr>
        <w:t>registrado,  nos</w:t>
      </w:r>
      <w:proofErr w:type="gramEnd"/>
      <w:r w:rsidRPr="004D436B">
        <w:rPr>
          <w:rFonts w:ascii="Arial" w:hAnsi="Arial" w:cs="Arial"/>
          <w:bCs/>
          <w:color w:val="000000"/>
          <w:sz w:val="16"/>
          <w:szCs w:val="16"/>
        </w:rPr>
        <w:t xml:space="preserve"> termos do Decreto Estadual 24.121/2019 o órgão requerente deverá instruir o processo com  manifestação do profissional habilitado sobre a adequação do pedido, atestando a conformidade deste com a Norma Técnica vigente, bem como todos os estudos técnicos preliminares exigíveis no inciso IX do artigo 6º, combinado com o artigo 7º da Lei n. 8.666.</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10.10. Os bens objeto da Ata de Registro de Preços serão solicitados de acordo com a necessidade do Governo do Estado de Rondônia, e a execução será nas condições definidas nesta Ata de Registro de Preços.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lastRenderedPageBreak/>
        <w:t>11. DA ALTERAÇÃO DA ATA DE REGISTRO DE PREÇOS: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11.2. Quando o preço registrado </w:t>
      </w:r>
      <w:proofErr w:type="gramStart"/>
      <w:r w:rsidRPr="004D436B">
        <w:rPr>
          <w:rFonts w:ascii="Arial" w:hAnsi="Arial" w:cs="Arial"/>
          <w:bCs/>
          <w:color w:val="000000"/>
          <w:sz w:val="16"/>
          <w:szCs w:val="16"/>
        </w:rPr>
        <w:t>tornar-se</w:t>
      </w:r>
      <w:proofErr w:type="gramEnd"/>
      <w:r w:rsidRPr="004D436B">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11.4. A ordem de classificação dos fornecedores que aceitarem reduzir seus preços aos valores de mercado observará a classificação original.</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11.5. Quando o preço de mercado tornar-se superior aos preços registrados, e o fornecedor não puder cumprir o </w:t>
      </w:r>
      <w:proofErr w:type="gramStart"/>
      <w:r w:rsidRPr="004D436B">
        <w:rPr>
          <w:rFonts w:ascii="Arial" w:hAnsi="Arial" w:cs="Arial"/>
          <w:bCs/>
          <w:color w:val="000000"/>
          <w:sz w:val="16"/>
          <w:szCs w:val="16"/>
        </w:rPr>
        <w:t>compromisso ,</w:t>
      </w:r>
      <w:proofErr w:type="gramEnd"/>
      <w:r w:rsidRPr="004D436B">
        <w:rPr>
          <w:rFonts w:ascii="Arial" w:hAnsi="Arial" w:cs="Arial"/>
          <w:bCs/>
          <w:color w:val="000000"/>
          <w:sz w:val="16"/>
          <w:szCs w:val="16"/>
        </w:rPr>
        <w:t xml:space="preserve"> o órgão gerenciador poderá:</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11.5.2. Convocar os demais fornecedores para assegurar igual oportunidade de negociação;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 DAS OBRIGAÇÕES DA DETENTORA DO REGISTRO: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12.2. Dispor-se a toda e qualquer fiscalização, no tocante ao fornecimento do produto, assim como ao cumprimento das obrigações previstas na ATA;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12.6. Respeitar e fazer cumprir a legislação de segurança e saúde no trabalho, previstas nas normas regulamentadoras pertinentes;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12.10. Todos os impostos e taxas que forem devidos em decorrência das contratações do objeto do Edital correrão por conta exclusiva da contratada;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 DAS OBRIGAÇÕES DOS ÓRGÃOS REQUISITANTES: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13.1. Proporcionar todas as facilidades indispensáveis à boa execução das obrigações contratuais;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13.2. Rejeitar, no todo ou em parte, os objetos desta Ata entregues em desacordo com as obrigações assumidas pelo fornecedor;</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13.3. Notificar a CONTRATADA de qualquer irregularidade encontrada no fornecimento dos objetos desta Ata;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13.4. Efetuar o pagamento </w:t>
      </w:r>
      <w:proofErr w:type="gramStart"/>
      <w:r w:rsidRPr="004D436B">
        <w:rPr>
          <w:rFonts w:ascii="Arial" w:hAnsi="Arial" w:cs="Arial"/>
          <w:bCs/>
          <w:color w:val="000000"/>
          <w:sz w:val="16"/>
          <w:szCs w:val="16"/>
        </w:rPr>
        <w:t>à(</w:t>
      </w:r>
      <w:proofErr w:type="gramEnd"/>
      <w:r w:rsidRPr="004D436B">
        <w:rPr>
          <w:rFonts w:ascii="Arial" w:hAnsi="Arial" w:cs="Arial"/>
          <w:bCs/>
          <w:color w:val="000000"/>
          <w:sz w:val="16"/>
          <w:szCs w:val="16"/>
        </w:rPr>
        <w:t>s) contratada(s) de acordo com as condições de preços e prazos estabelecidos no edital e ata de registro de preços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13.6. Não haverá </w:t>
      </w:r>
      <w:proofErr w:type="spellStart"/>
      <w:r w:rsidRPr="004D436B">
        <w:rPr>
          <w:rFonts w:ascii="Arial" w:hAnsi="Arial" w:cs="Arial"/>
          <w:bCs/>
          <w:color w:val="000000"/>
          <w:sz w:val="16"/>
          <w:szCs w:val="16"/>
        </w:rPr>
        <w:t>sob-hipótese</w:t>
      </w:r>
      <w:proofErr w:type="spellEnd"/>
      <w:r w:rsidRPr="004D436B">
        <w:rPr>
          <w:rFonts w:ascii="Arial" w:hAnsi="Arial" w:cs="Arial"/>
          <w:bCs/>
          <w:color w:val="000000"/>
          <w:sz w:val="16"/>
          <w:szCs w:val="16"/>
        </w:rPr>
        <w:t xml:space="preserve"> alguma, pagamento antecipado.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13.7. Fiscalizar a entrega do objeto através de um representante, a quem compete também anotar todas as ocorrências relacionadas com a entrega do objeto, determinando o que for necessário para regularizar as faltas ou defeitos observados, submetendo à autoridade competente da contratada o que ultrapassar a sua competência, em tempo hábil, para adoção das medidas convenientes.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13.8. Aceitar somente o fornecimento do objeto com os valores e especificações da tabela SINAPI atualizada.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14. DOS ÓRGÃOS PARTICIPANTES: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14.1. É participante desta ata os seguintes órgãos pertencentes à Administração Pública do Estado de Rondônia: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DER – Departamento de Estradas de Rodagem, Infraestrutura e Serviços Públicos.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xml:space="preserve">FEASE </w:t>
      </w:r>
      <w:proofErr w:type="gramStart"/>
      <w:r w:rsidRPr="004D436B">
        <w:rPr>
          <w:rFonts w:ascii="Arial" w:hAnsi="Arial" w:cs="Arial"/>
          <w:bCs/>
          <w:color w:val="000000"/>
          <w:sz w:val="16"/>
          <w:szCs w:val="16"/>
        </w:rPr>
        <w:t>–  Fundação</w:t>
      </w:r>
      <w:proofErr w:type="gramEnd"/>
      <w:r w:rsidRPr="004D436B">
        <w:rPr>
          <w:rFonts w:ascii="Arial" w:hAnsi="Arial" w:cs="Arial"/>
          <w:bCs/>
          <w:color w:val="000000"/>
          <w:sz w:val="16"/>
          <w:szCs w:val="16"/>
        </w:rPr>
        <w:t xml:space="preserve"> Estadual de Atendimento Socioeducativo.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SEJUS – Secretaria de Estado de Justiça.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SESAU – Secretaria de Estado da Saúde.</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SESDEC – Secretaria de Estado da Segurança Pública, Defesa e Cidadania.</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lastRenderedPageBreak/>
        <w:t>15.  DISPOSIÇÕES GERAIS: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D436B" w:rsidRPr="004D436B" w:rsidRDefault="004D436B" w:rsidP="004D436B">
      <w:pPr>
        <w:spacing w:before="120" w:after="120"/>
        <w:ind w:left="120" w:right="120"/>
        <w:jc w:val="both"/>
        <w:rPr>
          <w:rFonts w:ascii="Arial" w:hAnsi="Arial" w:cs="Arial"/>
          <w:bCs/>
          <w:color w:val="000000"/>
          <w:sz w:val="16"/>
          <w:szCs w:val="16"/>
        </w:rPr>
      </w:pPr>
      <w:r w:rsidRPr="004D436B">
        <w:rPr>
          <w:rFonts w:ascii="Arial" w:hAnsi="Arial" w:cs="Arial"/>
          <w:bCs/>
          <w:color w:val="000000"/>
          <w:sz w:val="16"/>
          <w:szCs w:val="16"/>
        </w:rPr>
        <w:t>15.4. Fazem parte integrante desta Ata, para todos os efeitos legais:</w:t>
      </w:r>
    </w:p>
    <w:p w:rsidR="004D436B" w:rsidRPr="004D436B" w:rsidRDefault="004D436B" w:rsidP="004D436B">
      <w:pPr>
        <w:spacing w:before="120" w:after="120"/>
        <w:ind w:left="120" w:right="120" w:firstLine="1418"/>
        <w:jc w:val="both"/>
        <w:rPr>
          <w:rFonts w:ascii="Arial" w:hAnsi="Arial" w:cs="Arial"/>
          <w:bCs/>
          <w:color w:val="000000"/>
          <w:sz w:val="16"/>
          <w:szCs w:val="16"/>
        </w:rPr>
      </w:pPr>
      <w:r w:rsidRPr="004D436B">
        <w:rPr>
          <w:rFonts w:ascii="Arial" w:hAnsi="Arial" w:cs="Arial"/>
          <w:bCs/>
          <w:color w:val="000000"/>
          <w:sz w:val="16"/>
          <w:szCs w:val="16"/>
        </w:rPr>
        <w:t>1.  Edital de Licitação e seus anexos;</w:t>
      </w:r>
    </w:p>
    <w:p w:rsidR="004D436B" w:rsidRPr="004D436B" w:rsidRDefault="004D436B" w:rsidP="004D436B">
      <w:pPr>
        <w:spacing w:before="120" w:after="120"/>
        <w:ind w:left="120" w:right="120" w:firstLine="1418"/>
        <w:jc w:val="both"/>
        <w:rPr>
          <w:rFonts w:ascii="Arial" w:hAnsi="Arial" w:cs="Arial"/>
          <w:bCs/>
          <w:color w:val="000000"/>
          <w:sz w:val="16"/>
          <w:szCs w:val="16"/>
        </w:rPr>
      </w:pPr>
      <w:r w:rsidRPr="004D436B">
        <w:rPr>
          <w:rFonts w:ascii="Arial" w:hAnsi="Arial" w:cs="Arial"/>
          <w:bCs/>
          <w:color w:val="000000"/>
          <w:sz w:val="16"/>
          <w:szCs w:val="16"/>
        </w:rPr>
        <w:t>2.  ANEXO I, planilha com os preços registrados e respectivos detentores;</w:t>
      </w:r>
    </w:p>
    <w:p w:rsidR="004D436B" w:rsidRPr="004D436B" w:rsidRDefault="004D436B" w:rsidP="004D436B">
      <w:pPr>
        <w:spacing w:before="120" w:after="120"/>
        <w:ind w:left="120" w:right="120" w:firstLine="1418"/>
        <w:jc w:val="both"/>
        <w:rPr>
          <w:rFonts w:ascii="Arial" w:hAnsi="Arial" w:cs="Arial"/>
          <w:bCs/>
          <w:color w:val="000000"/>
          <w:sz w:val="16"/>
          <w:szCs w:val="16"/>
        </w:rPr>
      </w:pPr>
      <w:r w:rsidRPr="004D436B">
        <w:rPr>
          <w:rFonts w:ascii="Arial" w:hAnsi="Arial" w:cs="Arial"/>
          <w:bCs/>
          <w:color w:val="000000"/>
          <w:sz w:val="16"/>
          <w:szCs w:val="16"/>
        </w:rPr>
        <w:t>3. ANEXO II, Registro dos licitantes que aceitaram cotar os bens ou serviços com preço iguais do licitante vencedor, na sequência da classificação do certame, formando o CADASTRO DE RESERVA.</w:t>
      </w:r>
    </w:p>
    <w:p w:rsidR="004D436B" w:rsidRPr="004D436B" w:rsidRDefault="004D436B" w:rsidP="004D436B">
      <w:pPr>
        <w:spacing w:before="120" w:after="120"/>
        <w:ind w:left="120" w:right="120" w:firstLine="1418"/>
        <w:jc w:val="both"/>
        <w:rPr>
          <w:rFonts w:ascii="Arial" w:hAnsi="Arial" w:cs="Arial"/>
          <w:bCs/>
          <w:color w:val="000000"/>
          <w:sz w:val="16"/>
          <w:szCs w:val="16"/>
        </w:rPr>
      </w:pPr>
      <w:r w:rsidRPr="004D436B">
        <w:rPr>
          <w:rFonts w:ascii="Arial" w:hAnsi="Arial" w:cs="Arial"/>
          <w:bCs/>
          <w:color w:val="000000"/>
          <w:sz w:val="16"/>
          <w:szCs w:val="16"/>
        </w:rPr>
        <w:t> </w:t>
      </w:r>
    </w:p>
    <w:p w:rsidR="004D436B" w:rsidRPr="004D436B" w:rsidRDefault="004D436B" w:rsidP="004D436B">
      <w:pPr>
        <w:spacing w:before="120" w:after="120"/>
        <w:ind w:left="120" w:right="120" w:firstLine="1418"/>
        <w:jc w:val="both"/>
        <w:rPr>
          <w:rFonts w:ascii="Arial" w:hAnsi="Arial" w:cs="Arial"/>
          <w:bCs/>
          <w:color w:val="000000"/>
          <w:sz w:val="16"/>
          <w:szCs w:val="16"/>
        </w:rPr>
      </w:pPr>
      <w:r w:rsidRPr="004D436B">
        <w:rPr>
          <w:rFonts w:ascii="Arial" w:hAnsi="Arial" w:cs="Arial"/>
          <w:bCs/>
          <w:color w:val="000000"/>
          <w:sz w:val="16"/>
          <w:szCs w:val="16"/>
        </w:rPr>
        <w:t>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8F579B"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lvlOverride w:ilvl="0">
      <w:startOverride w:val="2"/>
    </w:lvlOverride>
  </w:num>
  <w:num w:numId="3">
    <w:abstractNumId w:val="2"/>
    <w:lvlOverride w:ilvl="0">
      <w:startOverride w:val="3"/>
    </w:lvlOverride>
  </w:num>
  <w:num w:numId="4">
    <w:abstractNumId w:val="7"/>
    <w:lvlOverride w:ilvl="0">
      <w:startOverride w:val="4"/>
    </w:lvlOverride>
  </w:num>
  <w:num w:numId="5">
    <w:abstractNumId w:val="6"/>
    <w:lvlOverride w:ilvl="0">
      <w:startOverride w:val="5"/>
    </w:lvlOverride>
  </w:num>
  <w:num w:numId="6">
    <w:abstractNumId w:val="3"/>
    <w:lvlOverride w:ilvl="0">
      <w:startOverride w:val="6"/>
    </w:lvlOverride>
  </w:num>
  <w:num w:numId="7">
    <w:abstractNumId w:val="9"/>
  </w:num>
  <w:num w:numId="8">
    <w:abstractNumId w:val="5"/>
  </w:num>
  <w:num w:numId="9">
    <w:abstractNumId w:val="13"/>
    <w:lvlOverride w:ilvl="0">
      <w:startOverride w:val="2"/>
    </w:lvlOverride>
  </w:num>
  <w:num w:numId="10">
    <w:abstractNumId w:val="8"/>
    <w:lvlOverride w:ilvl="0">
      <w:startOverride w:val="3"/>
    </w:lvlOverride>
  </w:num>
  <w:num w:numId="11">
    <w:abstractNumId w:val="4"/>
    <w:lvlOverride w:ilvl="0">
      <w:startOverride w:val="4"/>
    </w:lvlOverride>
  </w:num>
  <w:num w:numId="12">
    <w:abstractNumId w:val="12"/>
    <w:lvlOverride w:ilvl="0">
      <w:startOverride w:val="5"/>
    </w:lvlOverride>
  </w:num>
  <w:num w:numId="13">
    <w:abstractNumId w:val="1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579B"/>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9C9B3-42C4-41E6-B541-CDD91412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3627</Words>
  <Characters>19586</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2021-03-29T13:14:00Z</dcterms:created>
  <dcterms:modified xsi:type="dcterms:W3CDTF">2021-03-29T13:19:00Z</dcterms:modified>
</cp:coreProperties>
</file>