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187082" w:rsidRDefault="00531DA4" w:rsidP="00531DA4">
      <w:pPr>
        <w:pStyle w:val="Cabealho"/>
        <w:jc w:val="center"/>
      </w:pPr>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rsidR="003E52A9" w:rsidRPr="003E52A9" w:rsidRDefault="003E52A9" w:rsidP="003E52A9">
      <w:pPr>
        <w:ind w:left="120" w:right="120"/>
        <w:jc w:val="both"/>
        <w:rPr>
          <w:rFonts w:ascii="Arial" w:hAnsi="Arial" w:cs="Arial"/>
          <w:b/>
          <w:bCs/>
          <w:color w:val="000000"/>
          <w:sz w:val="16"/>
          <w:szCs w:val="16"/>
        </w:rPr>
      </w:pPr>
    </w:p>
    <w:p w:rsidR="00CE2551" w:rsidRPr="00CE2551" w:rsidRDefault="00CE2551" w:rsidP="00CE2551">
      <w:pPr>
        <w:ind w:left="120" w:right="120"/>
        <w:jc w:val="both"/>
        <w:rPr>
          <w:rFonts w:ascii="Arial" w:hAnsi="Arial" w:cs="Arial"/>
          <w:b/>
          <w:bCs/>
          <w:color w:val="000000"/>
          <w:sz w:val="16"/>
          <w:szCs w:val="16"/>
        </w:rPr>
      </w:pPr>
      <w:r w:rsidRPr="00CE2551">
        <w:rPr>
          <w:rFonts w:ascii="Arial" w:hAnsi="Arial" w:cs="Arial"/>
          <w:b/>
          <w:bCs/>
          <w:color w:val="000000"/>
          <w:sz w:val="16"/>
          <w:szCs w:val="16"/>
        </w:rPr>
        <w:t> ATA DE REGISTRO DE PREÇOS Nº 059/2021</w:t>
      </w:r>
    </w:p>
    <w:p w:rsidR="00CE2551" w:rsidRPr="00CE2551" w:rsidRDefault="00CE2551" w:rsidP="00CE2551">
      <w:pPr>
        <w:ind w:left="120" w:right="120"/>
        <w:jc w:val="both"/>
        <w:rPr>
          <w:rFonts w:ascii="Arial" w:hAnsi="Arial" w:cs="Arial"/>
          <w:b/>
          <w:bCs/>
          <w:color w:val="000000"/>
          <w:sz w:val="16"/>
          <w:szCs w:val="16"/>
        </w:rPr>
      </w:pPr>
      <w:r w:rsidRPr="00CE2551">
        <w:rPr>
          <w:rFonts w:ascii="Arial" w:hAnsi="Arial" w:cs="Arial"/>
          <w:b/>
          <w:bCs/>
          <w:color w:val="000000"/>
          <w:sz w:val="16"/>
          <w:szCs w:val="16"/>
        </w:rPr>
        <w:t> PREGÃO ELETRÔNICO Nº 626/2020</w:t>
      </w:r>
    </w:p>
    <w:p w:rsidR="00CE2551" w:rsidRPr="00CE2551" w:rsidRDefault="00CE2551" w:rsidP="00CE2551">
      <w:pPr>
        <w:ind w:left="120" w:right="120"/>
        <w:jc w:val="both"/>
        <w:rPr>
          <w:rFonts w:ascii="Arial" w:hAnsi="Arial" w:cs="Arial"/>
          <w:b/>
          <w:bCs/>
          <w:color w:val="000000"/>
          <w:sz w:val="16"/>
          <w:szCs w:val="16"/>
        </w:rPr>
      </w:pPr>
      <w:r w:rsidRPr="00CE2551">
        <w:rPr>
          <w:rFonts w:ascii="Arial" w:hAnsi="Arial" w:cs="Arial"/>
          <w:b/>
          <w:bCs/>
          <w:color w:val="000000"/>
          <w:sz w:val="16"/>
          <w:szCs w:val="16"/>
        </w:rPr>
        <w:t> PROCESSO Nº 0029.126079/2019-06</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 </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 </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 Pelo presente instrumento, o ESTADO DE RONDÔNIA, através da SUPERINTENDÊNCIA ESTADUAL DE LICITAÇÕES – SUPEL situada à AV. FARQUAR N° 2986 COMPLEXO RIO MADEIRA EDIFÍCIO, RIO PACAÁS NOVOS 2º ANDAR – BAIRRO: PEDRINHAS, neste ato representado pelo Superintendente da SUPEL, Senhor Israel Evangelista da Silva e a(s) empresa(s) qualificada(s) no Anexo Único desta Ata, resolvem REGISTRAR O PREÇO para futura e eventual Contratação de empresa especializada na prestação de serviços de natureza continuada, de manutenção preventiva, corretiva e eventual sob demanda, em aparelhos condicionadores de ar, com fornecimento de mão de obra, insumos, ferramentas, reposição de peças em sistemas, equipamentos e instalações de ar condicionados, a pedido da Secretaria de Estado de Educação - SEDUC,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 1. DO OBJETO</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 Registro de Preços para futura e eventual Contratação de empresa especializada na prestação de serviços de natureza continuada, de manutenção preventiva, corretiva e eventual sob demanda, em aparelhos condicionadores de ar, com fornecimento de mão de obra, insumos, ferramentas, reposição de peças em sistemas, equipamentos e instalações de ar condicionados, a pedido da Secretaria de Estado de Educação - SEDUC.</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 </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2. DA VIGÊNCIA</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2.1. O presente Registro de Preços terá validade de 12 (doze) meses, contados a partir de sua publicação no Diário Oficial do Estado.</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 </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3. DA GERÊNCIA DA PRESENTE ATA DE REGISTRO DE PREÇOS</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 </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4. DA ESPECIFICAÇÃO, QUANTIDADE E PREÇO</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 xml:space="preserve">4.1. O preço, a quantidade, o fornecedor e a especificação do </w:t>
      </w:r>
      <w:proofErr w:type="spellStart"/>
      <w:r w:rsidRPr="00CE2551">
        <w:rPr>
          <w:rFonts w:ascii="Arial" w:hAnsi="Arial" w:cs="Arial"/>
          <w:bCs/>
          <w:color w:val="000000"/>
          <w:sz w:val="16"/>
          <w:szCs w:val="16"/>
        </w:rPr>
        <w:t>ite</w:t>
      </w:r>
      <w:proofErr w:type="spellEnd"/>
      <w:r w:rsidRPr="00CE2551">
        <w:rPr>
          <w:rFonts w:ascii="Arial" w:hAnsi="Arial" w:cs="Arial"/>
          <w:bCs/>
          <w:color w:val="000000"/>
          <w:sz w:val="16"/>
          <w:szCs w:val="16"/>
        </w:rPr>
        <w:t xml:space="preserve"> m registrado nesta Ata, encontram-se indicados no Anexo I deste instrumento.</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 </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5. PRAZOS E CONDIÇÕES DE FORNECIMENTO</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A DETENTORA do registro de preços se obriga, nos termos do Edital e deste instrumento, a:</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5.1. Retirar a Nota de Empenho junto ao órgão solicitante no prazo de até 05 (cinco) dias, contados da convocação;</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5.2. Iniciar o fornecimento do objeto dessa Ata, conforme prazo estabelecido no Termo de Referência e edital de licitações.</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 </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6. DO PRAZO, LOCAL DE ENTREGA</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6.1. No recebimento e aceitação de qualquer item, objeto desta Ata de Registro de Preços, serão observadas as especificações contidas no instrumento convocatório.</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6.2. Expedida a Nota de Empenho, o recebimento de seu objeto ficará condicionado a observância das normas contidas no art. 40, inciso XVI, c/c o art. 73 inciso II, “a” e “b”, da Lei 8.666/93 e alterações.</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6.3. DO PRAZO DE REALIZAÇÃO DOS SERVIÇOS:  Os serviços serão realizados num prazo máximo de 07 (sete) dias após o recebimento da Nota de Empenho, que poderá propor alterações a serem realizadas em prazo equivalente ou aprová-lo de imediato;</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6.4. DO LOCAL DE REALIZAÇÃO DOS SERVIÇOS: Os locais de realização dos serviços </w:t>
      </w:r>
      <w:proofErr w:type="gramStart"/>
      <w:r w:rsidRPr="00CE2551">
        <w:rPr>
          <w:rFonts w:ascii="Arial" w:hAnsi="Arial" w:cs="Arial"/>
          <w:bCs/>
          <w:color w:val="000000"/>
          <w:sz w:val="16"/>
          <w:szCs w:val="16"/>
        </w:rPr>
        <w:t>serão  nos</w:t>
      </w:r>
      <w:proofErr w:type="gramEnd"/>
      <w:r w:rsidRPr="00CE2551">
        <w:rPr>
          <w:rFonts w:ascii="Arial" w:hAnsi="Arial" w:cs="Arial"/>
          <w:bCs/>
          <w:color w:val="000000"/>
          <w:sz w:val="16"/>
          <w:szCs w:val="16"/>
        </w:rPr>
        <w:t xml:space="preserve"> imóveis sob responsabilidade da SEDUC no Estado de Rondônia, localizados nos endereços, conforme a seguinte lista:</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6.4.1. Município de Porto Velho-RO</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a) Gerência de Almoxarifado e Patrimônio - GAP/SEDUC, Avenida dos Imigrantes, nº 1.699, bairro São Sebastião II, Porto Velho CEP: 76.801-659. Tel. 69-3216-5910;</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b) Arquivo Anexo, Avenida dos Imigrantes, nº 1.699, bairro São Sebastião II, Porto Velho CEP: 76.801-659. Tel. 69-3216-5910;</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 xml:space="preserve">c) Arquivo Interno </w:t>
      </w:r>
      <w:proofErr w:type="gramStart"/>
      <w:r w:rsidRPr="00CE2551">
        <w:rPr>
          <w:rFonts w:ascii="Arial" w:hAnsi="Arial" w:cs="Arial"/>
          <w:bCs/>
          <w:color w:val="000000"/>
          <w:sz w:val="16"/>
          <w:szCs w:val="16"/>
        </w:rPr>
        <w:t>ARQ.INT./</w:t>
      </w:r>
      <w:proofErr w:type="gramEnd"/>
      <w:r w:rsidRPr="00CE2551">
        <w:rPr>
          <w:rFonts w:ascii="Arial" w:hAnsi="Arial" w:cs="Arial"/>
          <w:bCs/>
          <w:color w:val="000000"/>
          <w:sz w:val="16"/>
          <w:szCs w:val="16"/>
        </w:rPr>
        <w:t>SEDUC, Rua Quintino Bocaiuva, 2299, São Cristóvão, Porto Velho - RO, CEP 76.804-052. 69-3216-8997;</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d) Conselho de Alimentação Escolar - CAE/RO - Rua Paulo Leal, 357, Centro, Porto Velho - RO, CEP: 76801-911, Contato: 9969-9374; </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 xml:space="preserve">e) Conselho Estadual de Educação - CEE/RO - Av. </w:t>
      </w:r>
      <w:proofErr w:type="spellStart"/>
      <w:r w:rsidRPr="00CE2551">
        <w:rPr>
          <w:rFonts w:ascii="Arial" w:hAnsi="Arial" w:cs="Arial"/>
          <w:bCs/>
          <w:color w:val="000000"/>
          <w:sz w:val="16"/>
          <w:szCs w:val="16"/>
        </w:rPr>
        <w:t>Farquar</w:t>
      </w:r>
      <w:proofErr w:type="spellEnd"/>
      <w:r w:rsidRPr="00CE2551">
        <w:rPr>
          <w:rFonts w:ascii="Arial" w:hAnsi="Arial" w:cs="Arial"/>
          <w:bCs/>
          <w:color w:val="000000"/>
          <w:sz w:val="16"/>
          <w:szCs w:val="16"/>
        </w:rPr>
        <w:t>, 2749 - Panair, Porto Velho - RO, 76801-341 - Telefone (69) 3216-5344;</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 xml:space="preserve">6.4.2.Município de Guajará Mirim - Distrito do </w:t>
      </w:r>
      <w:proofErr w:type="spellStart"/>
      <w:r w:rsidRPr="00CE2551">
        <w:rPr>
          <w:rFonts w:ascii="Arial" w:hAnsi="Arial" w:cs="Arial"/>
          <w:bCs/>
          <w:color w:val="000000"/>
          <w:sz w:val="16"/>
          <w:szCs w:val="16"/>
        </w:rPr>
        <w:t>Iata</w:t>
      </w:r>
      <w:proofErr w:type="spellEnd"/>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 xml:space="preserve">f) Escola Estadual Eurico Gaspar Dutra - Rua Roraima, 3154 - CEP: 76850-000 - Distrito do </w:t>
      </w:r>
      <w:proofErr w:type="spellStart"/>
      <w:r w:rsidRPr="00CE2551">
        <w:rPr>
          <w:rFonts w:ascii="Arial" w:hAnsi="Arial" w:cs="Arial"/>
          <w:bCs/>
          <w:color w:val="000000"/>
          <w:sz w:val="16"/>
          <w:szCs w:val="16"/>
        </w:rPr>
        <w:t>Iata</w:t>
      </w:r>
      <w:proofErr w:type="spellEnd"/>
      <w:r w:rsidRPr="00CE2551">
        <w:rPr>
          <w:rFonts w:ascii="Arial" w:hAnsi="Arial" w:cs="Arial"/>
          <w:bCs/>
          <w:color w:val="000000"/>
          <w:sz w:val="16"/>
          <w:szCs w:val="16"/>
        </w:rPr>
        <w:t xml:space="preserve"> - Guajará-Mirim - RO.</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 </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 </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7.  DAS CONDIÇÕES DE PAGAMENTO</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7.1. A empresa detentora da Ata apresentará a Gerência Financeira do Órgão requisitante a nota fiscal referente ao fornecimento efetuado.</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7.2. O respectivo Órgão terá o prazo de 10 (dez) dias úteis, a contar da apresentação da nota fiscal para aceitá-la ou rejeitá-la.</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CE2551">
        <w:rPr>
          <w:rFonts w:ascii="Arial" w:hAnsi="Arial" w:cs="Arial"/>
          <w:bCs/>
          <w:color w:val="000000"/>
          <w:sz w:val="16"/>
          <w:szCs w:val="16"/>
        </w:rPr>
        <w:t>a</w:t>
      </w:r>
      <w:proofErr w:type="gramEnd"/>
      <w:r w:rsidRPr="00CE2551">
        <w:rPr>
          <w:rFonts w:ascii="Arial" w:hAnsi="Arial" w:cs="Arial"/>
          <w:bCs/>
          <w:color w:val="000000"/>
          <w:sz w:val="16"/>
          <w:szCs w:val="16"/>
        </w:rPr>
        <w:t xml:space="preserve"> partir da data de sua reapresentação.</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7.4. A devolução da nota fiscal não aprovada, em hipótese alguma, servirá de pretexto para que a empresa detentora da Ata suspenda quaisquer fornecimentos.</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 </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8.  DA DOTAÇÃO ORÇAMENTÁRIA</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lastRenderedPageBreak/>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 </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9. DAS SANÇÕES </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 </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9.1. Além daquelas determinadas por leis, decretos, regulamentos e demais dispositivos legais, a CONTRATADA estará sujeita as sanções definidas neste Termo de Referência.</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9.2. Sem prejuízo das sanções cominadas no art. 87, I, III e IV, da Lei nº 8.666/93, pela inexecução total ou parcial do instrumento de contrato, a Contratante poderá, garantida a prévia e ampla defesa, aplicar à Contratada multa (Tabela – Item 9.11), sobre a parcela inadimplida do contrato;</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9.3. Se a adjudicatária recusar-se a retirar o instrumento contratual injustificadamente ou se não apresentar situação regular na ocasião dos recebimentos, garantida a prévia e ampla defesa, aplicar à Contratada multa de até 10% (dez por cento) sobre a parcela inadimplida;</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9.4.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9.5.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9.6. As multas previstas nesta seção não eximem a adjudicatária ou contratada da reparação dos eventuais danos, perdas ou prejuízos que seu ato punível venha causar à Administração;</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9.7.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9.8.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9.9. São exemplos de infração administrativa penalizáveis, nos termos da Lei nº 8.666, de 1993, da Lei nº 10.520, de 2002, dos Decretos Estaduais nº 12.205/06, 12.234/06 (Pregão Eletrônico e Presencial):</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a) Inexecução total ou parcial do contrato;</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b) Apresentação de documentação falsa;</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c) Comportamento inidôneo;</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d) Fraude fiscal;</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e) Descumprimento de qualquer dos deveres elencados no Edital ou no Contrato;</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9.10. As sanções serão aplicadas sem prejuízo da responsabilidade civil e criminal que possa ser acionada em desfavor da Contratada, conforme infração cometida e prejuízos causados à administração ou a terceiros;</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9.11.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83"/>
        <w:gridCol w:w="8380"/>
        <w:gridCol w:w="763"/>
        <w:gridCol w:w="1101"/>
      </w:tblGrid>
      <w:tr w:rsidR="00CE2551" w:rsidRPr="00CE2551" w:rsidTr="00CE2551">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TABELA DE MULTAS - SERVIÇOS</w:t>
            </w:r>
          </w:p>
        </w:tc>
      </w:tr>
      <w:tr w:rsidR="00CE2551" w:rsidRPr="00CE2551" w:rsidTr="00CE255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MULTA*</w:t>
            </w:r>
          </w:p>
        </w:tc>
      </w:tr>
      <w:tr w:rsidR="00CE2551" w:rsidRPr="00CE2551" w:rsidTr="00CE255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Permitir situação que cria possibilidade ou cause danos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4,0% por dia</w:t>
            </w:r>
          </w:p>
        </w:tc>
      </w:tr>
      <w:tr w:rsidR="00CE2551" w:rsidRPr="00CE2551" w:rsidTr="00CE255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3,2 % por dia</w:t>
            </w:r>
          </w:p>
        </w:tc>
      </w:tr>
      <w:tr w:rsidR="00CE2551" w:rsidRPr="00CE2551" w:rsidTr="00CE255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1,6 % por dia</w:t>
            </w:r>
          </w:p>
        </w:tc>
      </w:tr>
      <w:tr w:rsidR="00CE2551" w:rsidRPr="00CE2551" w:rsidTr="00CE255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3,2 % por dia</w:t>
            </w:r>
          </w:p>
        </w:tc>
      </w:tr>
      <w:tr w:rsidR="00CE2551" w:rsidRPr="00CE2551" w:rsidTr="00CE255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0,4 % por dia</w:t>
            </w:r>
          </w:p>
        </w:tc>
      </w:tr>
      <w:tr w:rsidR="00CE2551" w:rsidRPr="00CE2551" w:rsidTr="00CE255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Inexecução total do 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10 % por dia</w:t>
            </w:r>
          </w:p>
        </w:tc>
      </w:tr>
      <w:tr w:rsidR="00CE2551" w:rsidRPr="00CE2551" w:rsidTr="00CE2551">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Para os Itens a seguir, deixar de:</w:t>
            </w:r>
          </w:p>
        </w:tc>
      </w:tr>
      <w:tr w:rsidR="00CE2551" w:rsidRPr="00CE2551" w:rsidTr="00CE255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3,2 % por dia</w:t>
            </w:r>
          </w:p>
        </w:tc>
      </w:tr>
      <w:tr w:rsidR="00CE2551" w:rsidRPr="00CE2551" w:rsidTr="00CE255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Cumprir quaisquer dos itens do Termo de Referência,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0,8 % por dia</w:t>
            </w:r>
          </w:p>
        </w:tc>
      </w:tr>
      <w:tr w:rsidR="00CE2551" w:rsidRPr="00CE2551" w:rsidTr="00CE255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0,8 % por dia</w:t>
            </w:r>
          </w:p>
        </w:tc>
      </w:tr>
      <w:tr w:rsidR="00CE2551" w:rsidRPr="00CE2551" w:rsidTr="00CE255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Iniciar execução de serviço nos prazos estabelecidos, observados os limites mínimo estabelecidos por este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0,4 % por dia</w:t>
            </w:r>
          </w:p>
        </w:tc>
      </w:tr>
      <w:tr w:rsidR="00CE2551" w:rsidRPr="00CE2551" w:rsidTr="00CE255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Ressarcir o órgão por eventuais danos causados por sua culpa;</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0,4 % por dia</w:t>
            </w:r>
          </w:p>
        </w:tc>
      </w:tr>
      <w:tr w:rsidR="00CE2551" w:rsidRPr="00CE2551" w:rsidTr="00CE255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0,2 % por dia</w:t>
            </w:r>
          </w:p>
        </w:tc>
      </w:tr>
      <w:tr w:rsidR="00CE2551" w:rsidRPr="00CE2551" w:rsidTr="00CE255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Substituir funcionários que se conduza de modo inconveniente ou não atenda às necessidades do órgão, por funcionário,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0,2 % por dia</w:t>
            </w:r>
          </w:p>
        </w:tc>
      </w:tr>
      <w:tr w:rsidR="00CE2551" w:rsidRPr="00CE2551" w:rsidTr="00CE255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Zelar pelas instalações do órgão e do ambiente de trabalho,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0,2 % por dia</w:t>
            </w:r>
          </w:p>
        </w:tc>
      </w:tr>
      <w:tr w:rsidR="00CE2551" w:rsidRPr="00CE2551" w:rsidTr="00CE255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Disponibilizar equipamentos e materiais necessários à realização dos serviços do escopo do contrato,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0,4 % por dia</w:t>
            </w:r>
          </w:p>
        </w:tc>
      </w:tr>
      <w:tr w:rsidR="00CE2551" w:rsidRPr="00CE2551" w:rsidTr="00CE255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Fornecer EPI (Equipamento de Proteção Individual) aos seus empregados e de impor penalidades àqueles que se negarem a usá-los, por empregado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3,2 % por dia</w:t>
            </w:r>
          </w:p>
        </w:tc>
      </w:tr>
      <w:tr w:rsidR="00CE2551" w:rsidRPr="00CE2551" w:rsidTr="00CE255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Indicar e manter durante a execução do Contrato o Preposto previsto no Edital/Contrato;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0,8 % por dia</w:t>
            </w:r>
          </w:p>
        </w:tc>
      </w:tr>
      <w:tr w:rsidR="00CE2551" w:rsidRPr="00CE2551" w:rsidTr="00CE255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lastRenderedPageBreak/>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Cumprir o Calendário de Manutenções Preventivas e Corretivas</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3,2 % por dia</w:t>
            </w:r>
          </w:p>
        </w:tc>
      </w:tr>
    </w:tbl>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 Incide sobre a parte inadimplida.</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9.12. As sanções aqui previstas poderão ser aplicadas concomitantemente, facultada a defesa prévia do interessado, no respectivo processo, no prazo de 05 (cinco) dias úteis;</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9.13. Após 30 (trinta) dias da falta de execução do objeto, será considerada inexecução total do contrato, o que ensejará a rescisão contratual;</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9.14. As sanções de natureza pecuniária serão diretamente descontadas de créditos que eventualmente detenha a CONTRATADA ou efetuada a sua cobrança na forma prevista em lei;</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9.15.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9.16. A autoridade competente, na aplicação das sanções, levará em consideração a gravidade da conduta do infrator, o caráter educativo da pena, bem como o dano causado à Administração, observado o princípio da proporcionalidade;</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9.17. A sanção será obrigatoriamente registrada no Sistema de Cadastramento Unificado de Fornecedores – SICAF, bem como em sistemas Estaduais;</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9.18.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a) tenham sofrido condenações definitivas por praticarem, por meio dolosos, fraude fiscal no recolhimento de tributos;</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b) tenham praticado atos ilícitos visando a frustrar os objetivos da licitação;</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c) demonstrem não possuir idoneidade para contratar com a Administração em virtude de atos ilícitos praticados;</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9.19.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9.20. Na hipótese de apresentar documentação inverossímil ou de cometer fraude, o licitante poderá sofrer sem prejuízo da comunicação do ocorrido ao Ministério Público, quaisquer das sanções previstas, que poderão ser aplicadas cumulativamente; e</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9.21. Nenhuma sanção será aplicada sem o devido processo administrativo, que prevê defesa prévia do interessado e recurso nos prazos definidos em Lei, sendo-lhe franqueada vista ao processo.</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 xml:space="preserve">9.22. Tratando-se de sanção do art. 7° da Lei do Pregão, os seus efeitos recaem apenas na esfera administrativa do órgão que a </w:t>
      </w:r>
      <w:proofErr w:type="spellStart"/>
      <w:r w:rsidRPr="00CE2551">
        <w:rPr>
          <w:rFonts w:ascii="Arial" w:hAnsi="Arial" w:cs="Arial"/>
          <w:bCs/>
          <w:color w:val="000000"/>
          <w:sz w:val="16"/>
          <w:szCs w:val="16"/>
        </w:rPr>
        <w:t>aplicou"Tratando-se</w:t>
      </w:r>
      <w:proofErr w:type="spellEnd"/>
      <w:r w:rsidRPr="00CE2551">
        <w:rPr>
          <w:rFonts w:ascii="Arial" w:hAnsi="Arial" w:cs="Arial"/>
          <w:bCs/>
          <w:color w:val="000000"/>
          <w:sz w:val="16"/>
          <w:szCs w:val="16"/>
        </w:rPr>
        <w:t xml:space="preserve"> de sanção do art. 7° da Lei do Pregão, os seus efeitos recaem apenas na esfera administrativa do órgão que a aplicou"</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 </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10. DA UTILIZAÇÃO DA ATA</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10.2. É facultada aos órgãos s ou entidades municipais, distritais ou estaduais a adesão a ata de registro de preços da Administração Pública Estadual.</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CE2551">
        <w:rPr>
          <w:rFonts w:ascii="Arial" w:hAnsi="Arial" w:cs="Arial"/>
          <w:bCs/>
          <w:color w:val="000000"/>
          <w:sz w:val="16"/>
          <w:szCs w:val="16"/>
        </w:rPr>
        <w:t>independente</w:t>
      </w:r>
      <w:proofErr w:type="spellEnd"/>
      <w:r w:rsidRPr="00CE2551">
        <w:rPr>
          <w:rFonts w:ascii="Arial" w:hAnsi="Arial" w:cs="Arial"/>
          <w:bCs/>
          <w:color w:val="000000"/>
          <w:sz w:val="16"/>
          <w:szCs w:val="16"/>
        </w:rPr>
        <w:t xml:space="preserve"> do número de órgãos não participantes que aderirem.</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10.6. Caberá ao órgão que se utilizar da ata, verificar a vantagem econômica da adesão a este Registro de Preço.</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 </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11. DA ALTERAÇÃO DA ATA DE REGISTRO DE PREÇOS</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11.4. A ordem de classificação dos fornecedores que aceitarem reduzir seus preços aos valores de mercado observará a classificação original.</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 xml:space="preserve">11.5. Quando o preço de mercado tornar-se superior aos preços registrados, e o fornecedor não puder cumprir o </w:t>
      </w:r>
      <w:proofErr w:type="gramStart"/>
      <w:r w:rsidRPr="00CE2551">
        <w:rPr>
          <w:rFonts w:ascii="Arial" w:hAnsi="Arial" w:cs="Arial"/>
          <w:bCs/>
          <w:color w:val="000000"/>
          <w:sz w:val="16"/>
          <w:szCs w:val="16"/>
        </w:rPr>
        <w:t>compromisso ,</w:t>
      </w:r>
      <w:proofErr w:type="gramEnd"/>
      <w:r w:rsidRPr="00CE2551">
        <w:rPr>
          <w:rFonts w:ascii="Arial" w:hAnsi="Arial" w:cs="Arial"/>
          <w:bCs/>
          <w:color w:val="000000"/>
          <w:sz w:val="16"/>
          <w:szCs w:val="16"/>
        </w:rPr>
        <w:t xml:space="preserve"> o órgão gerenciador poderá:</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11.5.1. Liberar o fornecedor do compromisso assumido, caso a comunicação ocorra antes do pedido de fornecimento, sem aplicação de penalidade se confirmada a veracidade dos motivos e comprovantes;</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11.5.2. Convocar os demais fornecedores para assegurar igual oportunidade de negociação;</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11.5.3. Não havendo êxito nas negociações, o órgão gerenciador deverá proceder a revogação do item da ata de registro de preços, adotando as medidas cabíveis para obtenção da contratação mais vantajosa.</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 </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12. DAS OBRIGAÇÕES DA DETENTORA DO REGISTRO</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12.2. Dispor-se a toda e qualquer fiscalização, no tocante ao fornecimento do produto, assim como ao cumprimento das obrigações previstas na ATA;</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12.6. Respeitar e fazer cumprir a legislação de segurança e saúde no trabalho, previstas nas normas regulamentadoras pertinentes;</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12.10. Todos os impostos e taxas que forem devidos em decorrência das contratações do objeto do Edital correrão por conta exclusiva da contratada;</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  </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13. DAS OBRIGAÇÕES DOS ÓRGÃOS REQUISITANTES</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13.1. Proporcionar todas as facilidades indispensáveis à boa execução das obrigações contratuais;</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13.2. Rejeitar, no todo ou em parte, os objetos desta Ata entregues em desacordo com as obrigações assumidas pelo fornecedor;</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13.3. Notificar a CONTRATADA de qualquer irregularidade encontrada no fornecimento dos objetos desta Ata;</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13.4. Efetuar o pagamento à(s) contratada(s) de acordo com as condições de preços e prazos estabelecidos no edital e ata de registro de preços</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lastRenderedPageBreak/>
        <w:t>13.5. Nenhum pagamento será efetuado à empresa adjudicatária, enquanto pendente de liquidação qualquer obrigação. Esse fato não será gerador de direito a reajustamento de preços ou a atualização monetária.</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 xml:space="preserve">13.6. Não haverá </w:t>
      </w:r>
      <w:proofErr w:type="spellStart"/>
      <w:r w:rsidRPr="00CE2551">
        <w:rPr>
          <w:rFonts w:ascii="Arial" w:hAnsi="Arial" w:cs="Arial"/>
          <w:bCs/>
          <w:color w:val="000000"/>
          <w:sz w:val="16"/>
          <w:szCs w:val="16"/>
        </w:rPr>
        <w:t>sob-hipótese</w:t>
      </w:r>
      <w:proofErr w:type="spellEnd"/>
      <w:r w:rsidRPr="00CE2551">
        <w:rPr>
          <w:rFonts w:ascii="Arial" w:hAnsi="Arial" w:cs="Arial"/>
          <w:bCs/>
          <w:color w:val="000000"/>
          <w:sz w:val="16"/>
          <w:szCs w:val="16"/>
        </w:rPr>
        <w:t xml:space="preserve"> alguma, pagamento antecipado.</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 </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14. DOS ÓRGÃOS PARTICIPANTES:</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14.1. É participante desta ata o seguinte órgão pertencente à Administração Pública do Estado de Rondônia:</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Secretaria de Estado de Educação - SEDUC.</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 </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15.  DISPOSIÇÕES GERAIS</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15.2. Fica a Detentora ciente que a publicidade da ata de registro de preços na imprensa oficial terá efeito de compromisso nas condições ofertadas e pactuadas na proposta apresentada à licitação.</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15.4. Fazem parte integrante desta Ata, para todos os efeitos legais: o Edital de Licitação e seus anexos, bem como, o ANEXO ÚNICO desta ata que contém os preços registrados e respectivos detentores.</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 </w:t>
      </w:r>
    </w:p>
    <w:p w:rsidR="00CE2551" w:rsidRPr="00CE2551" w:rsidRDefault="00CE2551" w:rsidP="00CE2551">
      <w:pPr>
        <w:ind w:left="120" w:right="120"/>
        <w:jc w:val="both"/>
        <w:rPr>
          <w:rFonts w:ascii="Arial" w:hAnsi="Arial" w:cs="Arial"/>
          <w:bCs/>
          <w:color w:val="000000"/>
          <w:sz w:val="16"/>
          <w:szCs w:val="16"/>
        </w:rPr>
      </w:pPr>
      <w:r w:rsidRPr="00CE2551">
        <w:rPr>
          <w:rFonts w:ascii="Arial" w:hAnsi="Arial" w:cs="Arial"/>
          <w:bCs/>
          <w:color w:val="000000"/>
          <w:sz w:val="16"/>
          <w:szCs w:val="16"/>
        </w:rPr>
        <w:t>        Fica eleito o foro do Município de Porto Velho/RO para dirimir as eventuais controvérsias decorrentes do presente ajuste.</w:t>
      </w:r>
    </w:p>
    <w:p w:rsidR="00AE42DC" w:rsidRPr="00AE42DC" w:rsidRDefault="00AE42DC" w:rsidP="00AE42DC">
      <w:pPr>
        <w:ind w:left="120" w:right="120"/>
        <w:jc w:val="both"/>
        <w:rPr>
          <w:rFonts w:ascii="Arial" w:hAnsi="Arial" w:cs="Arial"/>
          <w:bCs/>
          <w:color w:val="000000"/>
          <w:sz w:val="16"/>
          <w:szCs w:val="16"/>
        </w:rPr>
      </w:pP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187082">
        <w:rPr>
          <w:rFonts w:ascii="Arial" w:hAnsi="Arial" w:cs="Arial"/>
          <w:b/>
          <w:bCs/>
          <w:sz w:val="16"/>
          <w:szCs w:val="16"/>
        </w:rPr>
        <w:t>ISRAEL EVANGELISTA DA SILVA</w:t>
      </w:r>
      <w:r>
        <w:rPr>
          <w:rStyle w:val="Forte"/>
          <w:rFonts w:eastAsiaTheme="majorEastAsia"/>
          <w:color w:val="000000"/>
          <w:sz w:val="27"/>
          <w:szCs w:val="27"/>
        </w:rPr>
        <w:t> </w:t>
      </w:r>
      <w:r w:rsidR="00B81155">
        <w:rPr>
          <w:rFonts w:ascii="Arial" w:hAnsi="Arial" w:cs="Arial"/>
          <w:b/>
          <w:bCs/>
          <w:color w:val="000000"/>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w:t>
      </w:r>
      <w:r w:rsidR="00992C98">
        <w:rPr>
          <w:rFonts w:ascii="Arial" w:hAnsi="Arial" w:cs="Arial"/>
          <w:bCs/>
          <w:color w:val="000000"/>
          <w:sz w:val="16"/>
          <w:szCs w:val="16"/>
        </w:rPr>
        <w:t xml:space="preserve">   </w:t>
      </w:r>
      <w:r w:rsidR="00187082">
        <w:rPr>
          <w:rFonts w:ascii="Arial" w:hAnsi="Arial" w:cs="Arial"/>
          <w:bCs/>
          <w:color w:val="000000"/>
          <w:sz w:val="16"/>
          <w:szCs w:val="16"/>
        </w:rPr>
        <w:tab/>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187082" w:rsidRPr="00187082" w:rsidRDefault="00187082" w:rsidP="00502DD0">
      <w:pPr>
        <w:ind w:right="47"/>
        <w:rPr>
          <w:rFonts w:ascii="Arial" w:hAnsi="Arial" w:cs="Arial"/>
          <w:bCs/>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F14932" w:rsidRDefault="00F14932" w:rsidP="00526790">
      <w:pPr>
        <w:ind w:right="47"/>
        <w:jc w:val="both"/>
        <w:rPr>
          <w:rFonts w:ascii="Arial" w:hAnsi="Arial" w:cs="Arial"/>
          <w:b/>
          <w:bCs/>
          <w:color w:val="000000"/>
          <w:sz w:val="12"/>
          <w:szCs w:val="12"/>
        </w:rPr>
      </w:pPr>
    </w:p>
    <w:p w:rsidR="00F14932" w:rsidRDefault="00F14932" w:rsidP="00526790">
      <w:pPr>
        <w:ind w:right="47"/>
        <w:jc w:val="both"/>
        <w:rPr>
          <w:rFonts w:ascii="Arial" w:hAnsi="Arial" w:cs="Arial"/>
          <w:b/>
          <w:bCs/>
          <w:color w:val="000000"/>
          <w:sz w:val="12"/>
          <w:szCs w:val="12"/>
        </w:rPr>
      </w:pPr>
    </w:p>
    <w:p w:rsidR="00C50BF7" w:rsidRPr="003A19C4" w:rsidRDefault="00CE2551" w:rsidP="00526790">
      <w:pPr>
        <w:ind w:right="47"/>
        <w:jc w:val="both"/>
        <w:rPr>
          <w:rFonts w:ascii="Arial" w:hAnsi="Arial" w:cs="Arial"/>
          <w:b/>
          <w:bCs/>
          <w:color w:val="000000"/>
          <w:sz w:val="12"/>
          <w:szCs w:val="12"/>
        </w:rPr>
      </w:pPr>
      <w:r>
        <w:rPr>
          <w:rFonts w:ascii="Arial" w:hAnsi="Arial" w:cs="Arial"/>
          <w:b/>
          <w:bCs/>
          <w:color w:val="000000"/>
          <w:sz w:val="12"/>
          <w:szCs w:val="12"/>
        </w:rPr>
        <w:t>ST</w:t>
      </w:r>
      <w:bookmarkStart w:id="1" w:name="_GoBack"/>
      <w:bookmarkEnd w:id="1"/>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31"/>
    <w:lvlOverride w:ilvl="0">
      <w:startOverride w:val="2"/>
    </w:lvlOverride>
  </w:num>
  <w:num w:numId="3">
    <w:abstractNumId w:val="9"/>
    <w:lvlOverride w:ilvl="0">
      <w:startOverride w:val="3"/>
    </w:lvlOverride>
  </w:num>
  <w:num w:numId="4">
    <w:abstractNumId w:val="28"/>
    <w:lvlOverride w:ilvl="0">
      <w:startOverride w:val="4"/>
    </w:lvlOverride>
  </w:num>
  <w:num w:numId="5">
    <w:abstractNumId w:val="35"/>
    <w:lvlOverride w:ilvl="0">
      <w:startOverride w:val="5"/>
    </w:lvlOverride>
  </w:num>
  <w:num w:numId="6">
    <w:abstractNumId w:val="18"/>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39"/>
  </w:num>
  <w:num w:numId="11">
    <w:abstractNumId w:val="17"/>
    <w:lvlOverride w:ilvl="0">
      <w:startOverride w:val="2"/>
    </w:lvlOverride>
  </w:num>
  <w:num w:numId="12">
    <w:abstractNumId w:val="38"/>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37"/>
    <w:lvlOverride w:ilvl="0">
      <w:startOverride w:val="6"/>
    </w:lvlOverride>
  </w:num>
  <w:num w:numId="16">
    <w:abstractNumId w:val="25"/>
    <w:lvlOverride w:ilvl="0">
      <w:startOverride w:val="7"/>
    </w:lvlOverride>
  </w:num>
  <w:num w:numId="17">
    <w:abstractNumId w:val="41"/>
    <w:lvlOverride w:ilvl="0">
      <w:startOverride w:val="8"/>
    </w:lvlOverride>
  </w:num>
  <w:num w:numId="18">
    <w:abstractNumId w:val="33"/>
    <w:lvlOverride w:ilvl="0">
      <w:startOverride w:val="9"/>
    </w:lvlOverride>
  </w:num>
  <w:num w:numId="19">
    <w:abstractNumId w:val="19"/>
    <w:lvlOverride w:ilvl="0">
      <w:startOverride w:val="10"/>
    </w:lvlOverride>
  </w:num>
  <w:num w:numId="20">
    <w:abstractNumId w:val="3"/>
    <w:lvlOverride w:ilvl="0">
      <w:startOverride w:val="11"/>
    </w:lvlOverride>
  </w:num>
  <w:num w:numId="21">
    <w:abstractNumId w:val="40"/>
    <w:lvlOverride w:ilvl="0">
      <w:startOverride w:val="12"/>
    </w:lvlOverride>
  </w:num>
  <w:num w:numId="22">
    <w:abstractNumId w:val="15"/>
    <w:lvlOverride w:ilvl="0">
      <w:startOverride w:val="13"/>
    </w:lvlOverride>
  </w:num>
  <w:num w:numId="23">
    <w:abstractNumId w:val="8"/>
    <w:lvlOverride w:ilvl="0">
      <w:startOverride w:val="14"/>
    </w:lvlOverride>
  </w:num>
  <w:num w:numId="24">
    <w:abstractNumId w:val="24"/>
    <w:lvlOverride w:ilvl="0">
      <w:startOverride w:val="15"/>
    </w:lvlOverride>
  </w:num>
  <w:num w:numId="25">
    <w:abstractNumId w:val="7"/>
    <w:lvlOverride w:ilvl="0">
      <w:startOverride w:val="16"/>
    </w:lvlOverride>
  </w:num>
  <w:num w:numId="26">
    <w:abstractNumId w:val="23"/>
    <w:lvlOverride w:ilvl="0">
      <w:startOverride w:val="17"/>
    </w:lvlOverride>
  </w:num>
  <w:num w:numId="27">
    <w:abstractNumId w:val="32"/>
    <w:lvlOverride w:ilvl="0">
      <w:startOverride w:val="18"/>
    </w:lvlOverride>
  </w:num>
  <w:num w:numId="28">
    <w:abstractNumId w:val="26"/>
    <w:lvlOverride w:ilvl="0">
      <w:startOverride w:val="19"/>
    </w:lvlOverride>
  </w:num>
  <w:num w:numId="29">
    <w:abstractNumId w:val="5"/>
    <w:lvlOverride w:ilvl="0">
      <w:startOverride w:val="20"/>
    </w:lvlOverride>
  </w:num>
  <w:num w:numId="30">
    <w:abstractNumId w:val="34"/>
    <w:lvlOverride w:ilvl="0">
      <w:startOverride w:val="21"/>
    </w:lvlOverride>
  </w:num>
  <w:num w:numId="31">
    <w:abstractNumId w:val="4"/>
    <w:lvlOverride w:ilvl="0">
      <w:startOverride w:val="22"/>
    </w:lvlOverride>
  </w:num>
  <w:num w:numId="32">
    <w:abstractNumId w:val="22"/>
    <w:lvlOverride w:ilvl="0">
      <w:startOverride w:val="23"/>
    </w:lvlOverride>
  </w:num>
  <w:num w:numId="33">
    <w:abstractNumId w:val="6"/>
  </w:num>
  <w:num w:numId="34">
    <w:abstractNumId w:val="14"/>
    <w:lvlOverride w:ilvl="0">
      <w:startOverride w:val="2"/>
    </w:lvlOverride>
  </w:num>
  <w:num w:numId="35">
    <w:abstractNumId w:val="29"/>
    <w:lvlOverride w:ilvl="0">
      <w:startOverride w:val="3"/>
    </w:lvlOverride>
  </w:num>
  <w:num w:numId="36">
    <w:abstractNumId w:val="30"/>
    <w:lvlOverride w:ilvl="0">
      <w:startOverride w:val="4"/>
    </w:lvlOverride>
  </w:num>
  <w:num w:numId="37">
    <w:abstractNumId w:val="13"/>
    <w:lvlOverride w:ilvl="0">
      <w:startOverride w:val="5"/>
    </w:lvlOverride>
  </w:num>
  <w:num w:numId="38">
    <w:abstractNumId w:val="21"/>
    <w:lvlOverride w:ilvl="0">
      <w:startOverride w:val="6"/>
    </w:lvlOverride>
  </w:num>
  <w:num w:numId="39">
    <w:abstractNumId w:val="16"/>
    <w:lvlOverride w:ilvl="0">
      <w:startOverride w:val="7"/>
    </w:lvlOverride>
  </w:num>
  <w:num w:numId="40">
    <w:abstractNumId w:val="20"/>
    <w:lvlOverride w:ilvl="0">
      <w:startOverride w:val="8"/>
    </w:lvlOverride>
  </w:num>
  <w:num w:numId="41">
    <w:abstractNumId w:val="36"/>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598"/>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67A2D"/>
    <w:rsid w:val="0027115B"/>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E52A9"/>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2A71"/>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5F65F8"/>
    <w:rsid w:val="006024EA"/>
    <w:rsid w:val="00603302"/>
    <w:rsid w:val="006044C3"/>
    <w:rsid w:val="00606CE6"/>
    <w:rsid w:val="00611152"/>
    <w:rsid w:val="00620EE6"/>
    <w:rsid w:val="00621F6B"/>
    <w:rsid w:val="00624726"/>
    <w:rsid w:val="00624815"/>
    <w:rsid w:val="006264B5"/>
    <w:rsid w:val="00626615"/>
    <w:rsid w:val="00627D85"/>
    <w:rsid w:val="00627D90"/>
    <w:rsid w:val="00631544"/>
    <w:rsid w:val="006320F6"/>
    <w:rsid w:val="00635335"/>
    <w:rsid w:val="006353C6"/>
    <w:rsid w:val="00636F94"/>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2C98"/>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5620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2551"/>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47E1"/>
    <w:rsid w:val="00D678C8"/>
    <w:rsid w:val="00D7089B"/>
    <w:rsid w:val="00D74634"/>
    <w:rsid w:val="00D75B36"/>
    <w:rsid w:val="00D77206"/>
    <w:rsid w:val="00D85856"/>
    <w:rsid w:val="00D85EEE"/>
    <w:rsid w:val="00D91965"/>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2390447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00840020">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2669328">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31941431">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6F0709-68E7-4820-81DD-0BF8CAD9E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3565</Words>
  <Characters>19979</Characters>
  <Application>Microsoft Office Word</Application>
  <DocSecurity>0</DocSecurity>
  <Lines>166</Lines>
  <Paragraphs>46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23498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3</cp:revision>
  <cp:lastPrinted>2019-12-30T17:05:00Z</cp:lastPrinted>
  <dcterms:created xsi:type="dcterms:W3CDTF">2021-03-25T14:27:00Z</dcterms:created>
  <dcterms:modified xsi:type="dcterms:W3CDTF">2021-03-25T14:28:00Z</dcterms:modified>
</cp:coreProperties>
</file>