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50405F" w:rsidRDefault="00A41308" w:rsidP="00531DA4">
      <w:pPr>
        <w:pStyle w:val="Cabealho"/>
        <w:spacing w:before="100" w:after="100"/>
        <w:contextualSpacing/>
        <w:jc w:val="center"/>
      </w:pPr>
      <w:r w:rsidRPr="0050405F">
        <w:t>Porto V</w:t>
      </w:r>
      <w:r w:rsidR="00531DA4" w:rsidRPr="0050405F">
        <w:t xml:space="preserve">elho, Rondônia. </w:t>
      </w:r>
    </w:p>
    <w:bookmarkEnd w:id="0"/>
    <w:p w:rsidR="004F4312" w:rsidRPr="004F4312" w:rsidRDefault="004F4312" w:rsidP="004F4312">
      <w:pPr>
        <w:ind w:left="120" w:right="120"/>
        <w:jc w:val="both"/>
        <w:rPr>
          <w:rFonts w:ascii="Arial" w:hAnsi="Arial" w:cs="Arial"/>
          <w:b/>
          <w:bCs/>
          <w:color w:val="000000"/>
          <w:sz w:val="16"/>
          <w:szCs w:val="16"/>
        </w:rPr>
      </w:pPr>
      <w:r w:rsidRPr="004F4312">
        <w:rPr>
          <w:rFonts w:ascii="Calibri" w:hAnsi="Calibri"/>
          <w:b/>
          <w:bCs/>
          <w:color w:val="000000"/>
          <w:sz w:val="27"/>
          <w:szCs w:val="27"/>
        </w:rPr>
        <w:br/>
      </w:r>
      <w:r w:rsidRPr="004F4312">
        <w:rPr>
          <w:rFonts w:ascii="Arial" w:hAnsi="Arial" w:cs="Arial"/>
          <w:b/>
          <w:bCs/>
          <w:color w:val="000000"/>
          <w:sz w:val="16"/>
          <w:szCs w:val="16"/>
        </w:rPr>
        <w:t>ATA DE REGISTRO DE PREÇOS Nº 040/2021</w:t>
      </w:r>
    </w:p>
    <w:p w:rsidR="004F4312" w:rsidRPr="004F4312" w:rsidRDefault="004F4312" w:rsidP="004F4312">
      <w:pPr>
        <w:ind w:left="120" w:right="120"/>
        <w:jc w:val="both"/>
        <w:rPr>
          <w:rFonts w:ascii="Arial" w:hAnsi="Arial" w:cs="Arial"/>
          <w:b/>
          <w:bCs/>
          <w:color w:val="000000"/>
          <w:sz w:val="16"/>
          <w:szCs w:val="16"/>
        </w:rPr>
      </w:pPr>
      <w:r w:rsidRPr="004F4312">
        <w:rPr>
          <w:rFonts w:ascii="Arial" w:hAnsi="Arial" w:cs="Arial"/>
          <w:b/>
          <w:bCs/>
          <w:color w:val="000000"/>
          <w:sz w:val="16"/>
          <w:szCs w:val="16"/>
        </w:rPr>
        <w:t>PREGÃO ELETRÔNICO Nº 641/2020</w:t>
      </w:r>
    </w:p>
    <w:p w:rsidR="004F4312" w:rsidRPr="004F4312" w:rsidRDefault="004F4312" w:rsidP="004F4312">
      <w:pPr>
        <w:ind w:left="120" w:right="120"/>
        <w:jc w:val="both"/>
        <w:rPr>
          <w:rFonts w:ascii="Arial" w:hAnsi="Arial" w:cs="Arial"/>
          <w:b/>
          <w:bCs/>
          <w:color w:val="000000"/>
          <w:sz w:val="16"/>
          <w:szCs w:val="16"/>
        </w:rPr>
      </w:pPr>
      <w:r w:rsidRPr="004F4312">
        <w:rPr>
          <w:rFonts w:ascii="Arial" w:hAnsi="Arial" w:cs="Arial"/>
          <w:b/>
          <w:bCs/>
          <w:color w:val="000000"/>
          <w:sz w:val="16"/>
          <w:szCs w:val="16"/>
        </w:rPr>
        <w:t>PROCESSO Nº0015.260086/2020-11</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w:t>
      </w:r>
      <w:r w:rsidRPr="004F4312">
        <w:rPr>
          <w:rFonts w:ascii="Arial" w:hAnsi="Arial" w:cs="Arial"/>
          <w:b/>
          <w:bCs/>
          <w:color w:val="000000"/>
          <w:sz w:val="16"/>
          <w:szCs w:val="16"/>
        </w:rPr>
        <w:t>Israel Evangelista da Silva</w:t>
      </w:r>
      <w:r w:rsidRPr="004F4312">
        <w:rPr>
          <w:rFonts w:ascii="Arial" w:hAnsi="Arial" w:cs="Arial"/>
          <w:bCs/>
          <w:color w:val="000000"/>
          <w:sz w:val="16"/>
          <w:szCs w:val="16"/>
        </w:rPr>
        <w:t xml:space="preserve"> e a(s) empresa(s) qualificada(s) no Anexo Único desta Ata, resolvem REGISTRAR O PREÇO para futura e eventual aquisição de material de consumo (expediente), para atender as necessidades da Agência de Defesa Sanitária </w:t>
      </w:r>
      <w:proofErr w:type="spellStart"/>
      <w:r w:rsidRPr="004F4312">
        <w:rPr>
          <w:rFonts w:ascii="Arial" w:hAnsi="Arial" w:cs="Arial"/>
          <w:bCs/>
          <w:color w:val="000000"/>
          <w:sz w:val="16"/>
          <w:szCs w:val="16"/>
        </w:rPr>
        <w:t>Agrosilvopastoril</w:t>
      </w:r>
      <w:proofErr w:type="spellEnd"/>
      <w:r w:rsidRPr="004F4312">
        <w:rPr>
          <w:rFonts w:ascii="Arial" w:hAnsi="Arial" w:cs="Arial"/>
          <w:bCs/>
          <w:color w:val="000000"/>
          <w:sz w:val="16"/>
          <w:szCs w:val="16"/>
        </w:rPr>
        <w:t xml:space="preserve"> do Estado de Rondônia – IDARON, atendendo as condições previstas no instrumento convocatório e as constantes nesta Ata de Registro de Preços, sujeitando-se as partes às n</w:t>
      </w:r>
      <w:bookmarkStart w:id="1" w:name="_GoBack"/>
      <w:bookmarkEnd w:id="1"/>
      <w:r w:rsidRPr="004F4312">
        <w:rPr>
          <w:rFonts w:ascii="Arial" w:hAnsi="Arial" w:cs="Arial"/>
          <w:bCs/>
          <w:color w:val="000000"/>
          <w:sz w:val="16"/>
          <w:szCs w:val="16"/>
        </w:rPr>
        <w:t>ormas constantes da Lei nº. 8.666/93 e suas alterações, Decreto Estadual nº 18.340/13 e suas alterações e em conformidade com as disposições a seguir.</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 DO OBJETO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xml:space="preserve">REGISTRAR O PREÇO para futura e eventual aquisição de material de consumo (expediente), para atender as necessidades da Agência de Defesa Sanitária </w:t>
      </w:r>
      <w:proofErr w:type="spellStart"/>
      <w:r w:rsidRPr="004F4312">
        <w:rPr>
          <w:rFonts w:ascii="Arial" w:hAnsi="Arial" w:cs="Arial"/>
          <w:bCs/>
          <w:color w:val="000000"/>
          <w:sz w:val="16"/>
          <w:szCs w:val="16"/>
        </w:rPr>
        <w:t>Agrosilvopastoril</w:t>
      </w:r>
      <w:proofErr w:type="spellEnd"/>
      <w:r w:rsidRPr="004F4312">
        <w:rPr>
          <w:rFonts w:ascii="Arial" w:hAnsi="Arial" w:cs="Arial"/>
          <w:bCs/>
          <w:color w:val="000000"/>
          <w:sz w:val="16"/>
          <w:szCs w:val="16"/>
        </w:rPr>
        <w:t xml:space="preserve"> do Estado de Rondônia – IDARON.</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2. DA VIGÊNCIA</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2.1. O presente Registro de Preços terá validade de 12 (doze) meses, contados a partir de sua publicação no Diário Oficial do Estado.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3. DA GERÊNCIA DA PRESENTE ATA DE REGISTRO DE PREÇOS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4. DA ESPECIFICAÇÃO, QUANTIDADE E PREÇO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4.1. O preço, a quantidade, o fornecedor e a especificação do item registrado nesta Ata, encontram-se indicados no Anexo I deste instrumento.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5. PRAZOS E CONDIÇÕES DE FORNECIMENTO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A DETENTORA do registro de preços se obriga, nos termos do Edital e deste instrumento, a:</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5.1. Retirar a Nota de Empenho junto ao órgão solicitante no prazo de até 05 (cinco) dias, contados da convocação;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5.2. Iniciar o fornecimento do objeto dessa Ata, conforme prazo estabelecido no Termo de Referência e edital de licitações.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6. DO PRAZO, LOCAL DE ENTREGA</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6.3. DO PRAZO DE ENTREGA: 30 (trinta) dias corridos, contados a partir do primeiro dia útil após o recebimento do Contrato ou instrumento equivalente.</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6.4. DO LOCAL DE ENTREGA: Os materiais deverão ser entregues no Almoxarifado da IDARON, localizado na BR-364, Km 07, número 9.280-C, Bairro Aeroclube, Quadra 999, Setor 21, CEP 76.816-800, município de Porto Velho/RO, de segunda a sexta-feira, das 07h:30min às 13h:30min.</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7.  DAS CONDIÇÕES DE PAGAMENTO          </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7.1. A empresa detentora da Ata apresentará a Gerência Financeira do Órgão requisitante a nota fiscal referente ao fornecimento efetuado.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7.2. O respectivo Órgão terá o prazo de 10 (dez) dias úteis, a contar da apresentação da nota fiscal para aceitá-la ou rejeitá-la.</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4F4312">
        <w:rPr>
          <w:rFonts w:ascii="Arial" w:hAnsi="Arial" w:cs="Arial"/>
          <w:bCs/>
          <w:color w:val="000000"/>
          <w:sz w:val="16"/>
          <w:szCs w:val="16"/>
        </w:rPr>
        <w:t>a</w:t>
      </w:r>
      <w:proofErr w:type="gramEnd"/>
      <w:r w:rsidRPr="004F4312">
        <w:rPr>
          <w:rFonts w:ascii="Arial" w:hAnsi="Arial" w:cs="Arial"/>
          <w:bCs/>
          <w:color w:val="000000"/>
          <w:sz w:val="16"/>
          <w:szCs w:val="16"/>
        </w:rPr>
        <w:t xml:space="preserve"> partir da data de sua reapresentação.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7.4. A devolução da nota fiscal não aprovada, em hipótese alguma, servirá de pretexto para que a empresa detentora da Ata suspenda quaisquer fornecimentos.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8.  DA DOTAÇÃO ORÇAMENTÁRIA</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9. DAS SANÇÕES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9.1. Aos adjudicatários que descumprirem total ou parcialmente os contratos celebrados com a Administração Pública Estadual, serão aplicadas as sanções previstas nos artigos 86 a 87 da Lei Federal nº 8.666/93, e demais cominações legais, com observância ao devido processo administrativo, respeitando-se o contraditório e a ampla defesa.</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9.2. Em caso de inexecução parcial ou total das condições fixadas na licitação, execução imperfeita, inadimplemento contratual, não veracidade das informações ou mora de execução, erros ou atraso na entrega e quaisquer outras irregularidades, a Administração poderá, a seu critério, isolada ou cumulativamente, garantida a prévia defesa, aplicar à empresa adjudicatária as seguintes penalidades: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I - Advertência escrita – a comunicação formal ao fornecedor, advertindo-lhe sobre o descumprimento de obrigação legal assumida, determinando que seja sanada a impropriedade e, notificando que, em caso de reincidência, sanção mais elevada poderá ser aplicada.</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II - Multa – que deverá observar os seguintes limites máximos: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a) De 0,3% (três décimos por cento) por dia, até o trigésimo dia, no caso de atrasos na entrega, sobre o valor da parte inadimplida do contrato;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lastRenderedPageBreak/>
        <w:t>b) Até o limite de 20% (vinte por cento), sobre o valor do contrato, para as infrações estipuladas na Tabela 2, de acordo com os percentuais previstos na Tabela 1;</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c) De 10% (dez por cento) sobre o valor da nota de empenho ou do contrato, em caso de recusa do adjudicatário em efetuar o reforço de garantia;</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d) De 20% (vinte por cento) sobre o valor do fornecimento, nas hipóteses de não realização dos serviços total ou parcialmente, de realização com atraso superior a 30 (trinta) dias, ou de entrega de objeto com vícios ou defeitos ocultos que o tornem impróprio ao uso a que é destinado, ou diminuam-lhe o valor ou, ainda, fora das especificações contratadas.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O valor da multa aplicada será descontado do valor da garantia prestada, retido dos pagamentos devidos pela Administração Pública Estadual ou ainda, cobrado judicialmente, nos termos dos §§ 2º e 3º do artigo 86, da Lei nº 8.666/93.</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As multas previstas nesta seção não eximem a adjudicatária ou Contratada da reparação dos eventuais danos, perdas ou prejuízos que seu ato punível venha causar à Administração.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III - Suspensão temporária de participação em licitação e impedimento de contratar com a Administração Pública Estadual, impedindo o fornecedor de licitar e contratar com a Administração Pública Estadual pelos seguintes prazos: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a) De 6 (seis) meses, nos casos de:</w:t>
      </w:r>
    </w:p>
    <w:p w:rsidR="004F4312" w:rsidRPr="004F4312" w:rsidRDefault="004F4312" w:rsidP="004F4312">
      <w:pPr>
        <w:numPr>
          <w:ilvl w:val="0"/>
          <w:numId w:val="44"/>
        </w:numPr>
        <w:ind w:left="840" w:right="120" w:firstLine="0"/>
        <w:jc w:val="both"/>
        <w:rPr>
          <w:rFonts w:ascii="Arial" w:hAnsi="Arial" w:cs="Arial"/>
          <w:bCs/>
          <w:color w:val="000000"/>
          <w:sz w:val="16"/>
          <w:szCs w:val="16"/>
        </w:rPr>
      </w:pPr>
      <w:r w:rsidRPr="004F4312">
        <w:rPr>
          <w:rFonts w:ascii="Arial" w:hAnsi="Arial" w:cs="Arial"/>
          <w:bCs/>
          <w:color w:val="000000"/>
          <w:sz w:val="16"/>
          <w:szCs w:val="16"/>
        </w:rPr>
        <w:t>Alteração de substância, qualidade ou quantidade da mercadoria fornecida; ou</w:t>
      </w:r>
    </w:p>
    <w:p w:rsidR="004F4312" w:rsidRPr="004F4312" w:rsidRDefault="004F4312" w:rsidP="004F4312">
      <w:pPr>
        <w:numPr>
          <w:ilvl w:val="0"/>
          <w:numId w:val="44"/>
        </w:numPr>
        <w:ind w:left="840" w:right="120" w:firstLine="0"/>
        <w:jc w:val="both"/>
        <w:rPr>
          <w:rFonts w:ascii="Arial" w:hAnsi="Arial" w:cs="Arial"/>
          <w:bCs/>
          <w:color w:val="000000"/>
          <w:sz w:val="16"/>
          <w:szCs w:val="16"/>
        </w:rPr>
      </w:pPr>
      <w:r w:rsidRPr="004F4312">
        <w:rPr>
          <w:rFonts w:ascii="Arial" w:hAnsi="Arial" w:cs="Arial"/>
          <w:bCs/>
          <w:color w:val="000000"/>
          <w:sz w:val="16"/>
          <w:szCs w:val="16"/>
        </w:rPr>
        <w:t>Prestação de serviço de baixa qualidade.</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b) De 12 (doze) meses, no caso do descumprimento de especificação técnica relativa ao objeto previsto no contrato.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c) De 24 (vinte e quatro) meses, nos casos de:</w:t>
      </w:r>
    </w:p>
    <w:p w:rsidR="004F4312" w:rsidRPr="004F4312" w:rsidRDefault="004F4312" w:rsidP="004F4312">
      <w:pPr>
        <w:numPr>
          <w:ilvl w:val="0"/>
          <w:numId w:val="45"/>
        </w:numPr>
        <w:ind w:left="840" w:right="120" w:firstLine="0"/>
        <w:jc w:val="both"/>
        <w:rPr>
          <w:rFonts w:ascii="Arial" w:hAnsi="Arial" w:cs="Arial"/>
          <w:bCs/>
          <w:color w:val="000000"/>
          <w:sz w:val="16"/>
          <w:szCs w:val="16"/>
        </w:rPr>
      </w:pPr>
      <w:r w:rsidRPr="004F4312">
        <w:rPr>
          <w:rFonts w:ascii="Arial" w:hAnsi="Arial" w:cs="Arial"/>
          <w:bCs/>
          <w:color w:val="000000"/>
          <w:sz w:val="16"/>
          <w:szCs w:val="16"/>
        </w:rPr>
        <w:t>Retardamento imotivado no fornecimento do objeto;</w:t>
      </w:r>
    </w:p>
    <w:p w:rsidR="004F4312" w:rsidRPr="004F4312" w:rsidRDefault="004F4312" w:rsidP="004F4312">
      <w:pPr>
        <w:numPr>
          <w:ilvl w:val="0"/>
          <w:numId w:val="45"/>
        </w:numPr>
        <w:ind w:left="840" w:right="120" w:firstLine="0"/>
        <w:jc w:val="both"/>
        <w:rPr>
          <w:rFonts w:ascii="Arial" w:hAnsi="Arial" w:cs="Arial"/>
          <w:bCs/>
          <w:color w:val="000000"/>
          <w:sz w:val="16"/>
          <w:szCs w:val="16"/>
        </w:rPr>
      </w:pPr>
      <w:r w:rsidRPr="004F4312">
        <w:rPr>
          <w:rFonts w:ascii="Arial" w:hAnsi="Arial" w:cs="Arial"/>
          <w:bCs/>
          <w:color w:val="000000"/>
          <w:sz w:val="16"/>
          <w:szCs w:val="16"/>
        </w:rPr>
        <w:t>Paralisação no fornecimento do bem, sem justa causa e prévia comunicação à Administração Pública Estadual;</w:t>
      </w:r>
    </w:p>
    <w:p w:rsidR="004F4312" w:rsidRPr="004F4312" w:rsidRDefault="004F4312" w:rsidP="004F4312">
      <w:pPr>
        <w:numPr>
          <w:ilvl w:val="0"/>
          <w:numId w:val="45"/>
        </w:numPr>
        <w:ind w:left="840" w:right="120" w:firstLine="0"/>
        <w:jc w:val="both"/>
        <w:rPr>
          <w:rFonts w:ascii="Arial" w:hAnsi="Arial" w:cs="Arial"/>
          <w:bCs/>
          <w:color w:val="000000"/>
          <w:sz w:val="16"/>
          <w:szCs w:val="16"/>
        </w:rPr>
      </w:pPr>
      <w:r w:rsidRPr="004F4312">
        <w:rPr>
          <w:rFonts w:ascii="Arial" w:hAnsi="Arial" w:cs="Arial"/>
          <w:bCs/>
          <w:color w:val="000000"/>
          <w:sz w:val="16"/>
          <w:szCs w:val="16"/>
        </w:rPr>
        <w:t>Entrega de mercadoria falsificada, furtada, deteriorada, danificada ou inadequada para o uso, como se verdadeira ou perfeita fosse;</w:t>
      </w:r>
    </w:p>
    <w:p w:rsidR="004F4312" w:rsidRPr="004F4312" w:rsidRDefault="004F4312" w:rsidP="004F4312">
      <w:pPr>
        <w:numPr>
          <w:ilvl w:val="0"/>
          <w:numId w:val="45"/>
        </w:numPr>
        <w:ind w:left="840" w:right="120" w:firstLine="0"/>
        <w:jc w:val="both"/>
        <w:rPr>
          <w:rFonts w:ascii="Arial" w:hAnsi="Arial" w:cs="Arial"/>
          <w:bCs/>
          <w:color w:val="000000"/>
          <w:sz w:val="16"/>
          <w:szCs w:val="16"/>
        </w:rPr>
      </w:pPr>
      <w:r w:rsidRPr="004F4312">
        <w:rPr>
          <w:rFonts w:ascii="Arial" w:hAnsi="Arial" w:cs="Arial"/>
          <w:bCs/>
          <w:color w:val="000000"/>
          <w:sz w:val="16"/>
          <w:szCs w:val="16"/>
        </w:rPr>
        <w:t>Praticar ato ilícito visando frustrar os objetivos de licitação no âmbito da Administração Pública Estadual; ou</w:t>
      </w:r>
    </w:p>
    <w:p w:rsidR="004F4312" w:rsidRPr="004F4312" w:rsidRDefault="004F4312" w:rsidP="004F4312">
      <w:pPr>
        <w:numPr>
          <w:ilvl w:val="0"/>
          <w:numId w:val="45"/>
        </w:numPr>
        <w:ind w:left="840" w:right="120" w:firstLine="0"/>
        <w:jc w:val="both"/>
        <w:rPr>
          <w:rFonts w:ascii="Arial" w:hAnsi="Arial" w:cs="Arial"/>
          <w:bCs/>
          <w:color w:val="000000"/>
          <w:sz w:val="16"/>
          <w:szCs w:val="16"/>
        </w:rPr>
      </w:pPr>
      <w:r w:rsidRPr="004F4312">
        <w:rPr>
          <w:rFonts w:ascii="Arial" w:hAnsi="Arial" w:cs="Arial"/>
          <w:bCs/>
          <w:color w:val="000000"/>
          <w:sz w:val="16"/>
          <w:szCs w:val="16"/>
        </w:rPr>
        <w:t>Sofrer condenação definitiva por praticar, por meio doloso, fraude fiscal no recolhimento de qualquer tributo;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De até 5 (cinco) anos, no caso de licitação na modalidade Pregão, nas situações previstas no art. 7º da Lei 10.520/2002 ou de 2 (dois) anos, nas demais modalidades licitatórias.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IV - Declaração de inidoneidade para licitar ou contratar com a Administração Pública,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O fornecedor será excluído do Cadastro de Fornecedores Impedidos de Licitar e Contratar com a Administração Pública Estadual – CAGEFIMP nas seguintes hipóteses, conforme dispõe o artigo 34, inciso II do Decreto nº 16.089/2011:</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a) Expirado o prazo da suspensão, desde que cumpridas integralmente as punições impostas;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b) A pedido do fornecedor declarado inidôneo, decorrido o prazo mínimo de 2 (dois) anos, desde que reabilitado pela Administração Pública Estadual, na forma do disposto no § 3º, do art. 87, da Lei Federal nº 8.666/93; e</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c) Por determinação judicial.</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9.3. As sanções de advertência, suspensão e inidoneidade poderão ser aplicadas juntamente com a multa, conforme dispõe o § 2º do art. 87 da Lei nº 8.666/93, assegurado o direito de defesa prévia do interessado no prazo de 5 (cinco) dias úteis.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9.4. As penalidades de advertência e multa serão aplicadas de ofício ou por provocação dos órgãos de controle, pela autoridade expressamente nomeada no edital ou no instrumento contratual.</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9.5. Não será efetuado qualquer pagamento de parcela inadimplida à Contratada enquanto houver pendência de liquidação da obrigação financeira em virtude de penalidade ou inadimplência contratual.</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9.6. 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serviços a contento.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9.7. A Contratante poderá conceder um prazo para que a Contratada regularize suas obrigações trabalhistas ou suas condições de habilitação, sob pena de rescisão contratual, quando não identificar má-fé ou a incapacidade da empresa de corrigir a situação.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9.9. São exemplos de infração administrativa penalizáveis, nos termos da legislação a (o):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a) Inexecução total ou parcial do contrato;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b) Apresentação de documentação falsa;</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c) Comportamento inidôneo;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d) Fraude fiscal;</w:t>
      </w:r>
    </w:p>
    <w:p w:rsidR="004F4312" w:rsidRPr="004F4312" w:rsidRDefault="004F4312" w:rsidP="004F4312">
      <w:pPr>
        <w:ind w:left="120" w:right="120"/>
        <w:jc w:val="both"/>
        <w:rPr>
          <w:rFonts w:ascii="Arial" w:hAnsi="Arial" w:cs="Arial"/>
          <w:bCs/>
          <w:color w:val="000000"/>
          <w:sz w:val="16"/>
          <w:szCs w:val="16"/>
        </w:rPr>
      </w:pPr>
      <w:proofErr w:type="gramStart"/>
      <w:r w:rsidRPr="004F4312">
        <w:rPr>
          <w:rFonts w:ascii="Arial" w:hAnsi="Arial" w:cs="Arial"/>
          <w:bCs/>
          <w:color w:val="000000"/>
          <w:sz w:val="16"/>
          <w:szCs w:val="16"/>
        </w:rPr>
        <w:t>e)Descumprimento</w:t>
      </w:r>
      <w:proofErr w:type="gramEnd"/>
      <w:r w:rsidRPr="004F4312">
        <w:rPr>
          <w:rFonts w:ascii="Arial" w:hAnsi="Arial" w:cs="Arial"/>
          <w:bCs/>
          <w:color w:val="000000"/>
          <w:sz w:val="16"/>
          <w:szCs w:val="16"/>
        </w:rPr>
        <w:t xml:space="preserve"> de qualquer dos deveres elencados no Edital ou no Contrato.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9.10. As sanções serão aplicadas sem prejuízo da responsabilidade civil e criminal que possa ser acionada em desfavor da Contratada, conforme infração cometida e prejuízos causados à administração ou a terceiros.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9.11. As sanções serão obrigatoriamente registradas no Cadastro de Fornecedores Impedidos de Licitar e Contratar com a Administração Pública Estadual – CAGEFIMP, gerido pela Controladoria Geral do Estado – CGE.</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9.12. Também ficam sujeitas às penalidades de suspensão de licitar e impedimento de contratar com o órgão licitante e de declaração de inidoneidade, previstas no subitem anterior, as empresas ou profissionais que, em razão do contrato decorrente da licitação: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a) Tenham sofrido condenações definitivas por praticarem, por meio dolosos, fraude fiscal no recolhimento de tributos;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b) Tenham praticado atos ilícitos visando a frustrar os objetivos da licitação;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c) Demonstrem não possuir idoneidade para contratar com a Administração em virtude de atos ilícitos praticados.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9.13. 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9.14. Para efeito de aplicação de multas, às infrações são atribuídos graus, de acordo com as Tabelas 1 e 2: </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TABELA 1</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33"/>
        <w:gridCol w:w="3970"/>
      </w:tblGrid>
      <w:tr w:rsidR="004F4312" w:rsidRPr="004F4312" w:rsidTr="004F431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CORRESPONDÊNCIA</w:t>
            </w:r>
          </w:p>
        </w:tc>
      </w:tr>
      <w:tr w:rsidR="004F4312" w:rsidRPr="004F4312" w:rsidTr="004F431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0,2% sobre o valor da parte inadimplida do Contrato</w:t>
            </w:r>
          </w:p>
        </w:tc>
      </w:tr>
      <w:tr w:rsidR="004F4312" w:rsidRPr="004F4312" w:rsidTr="004F431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0,4% sobre o valor da parte inadimplida do Contrato</w:t>
            </w:r>
          </w:p>
        </w:tc>
      </w:tr>
      <w:tr w:rsidR="004F4312" w:rsidRPr="004F4312" w:rsidTr="004F431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0,8% sobre o valor da parte inadimplida do Contrato</w:t>
            </w:r>
          </w:p>
        </w:tc>
      </w:tr>
      <w:tr w:rsidR="004F4312" w:rsidRPr="004F4312" w:rsidTr="004F431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1,6% sobre o valor da parte inadimplida do Contrato</w:t>
            </w:r>
          </w:p>
        </w:tc>
      </w:tr>
    </w:tbl>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TABELA 2</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9541"/>
        <w:gridCol w:w="733"/>
      </w:tblGrid>
      <w:tr w:rsidR="004F4312" w:rsidRPr="004F4312" w:rsidTr="004F4312">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INFRAÇÃO</w:t>
            </w:r>
          </w:p>
        </w:tc>
      </w:tr>
      <w:tr w:rsidR="004F4312" w:rsidRPr="004F4312" w:rsidTr="004F431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GRAU</w:t>
            </w:r>
          </w:p>
        </w:tc>
      </w:tr>
      <w:tr w:rsidR="004F4312" w:rsidRPr="004F4312" w:rsidTr="004F431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Permitir situação que crie a possibilidade de causar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04</w:t>
            </w:r>
          </w:p>
        </w:tc>
      </w:tr>
      <w:tr w:rsidR="004F4312" w:rsidRPr="004F4312" w:rsidTr="004F431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04</w:t>
            </w:r>
          </w:p>
        </w:tc>
      </w:tr>
      <w:tr w:rsidR="004F4312" w:rsidRPr="004F4312" w:rsidTr="004F431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lastRenderedPageBreak/>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04</w:t>
            </w:r>
          </w:p>
        </w:tc>
      </w:tr>
      <w:tr w:rsidR="004F4312" w:rsidRPr="004F4312" w:rsidTr="004F431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Executar fornecimento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04</w:t>
            </w:r>
          </w:p>
        </w:tc>
      </w:tr>
      <w:tr w:rsidR="004F4312" w:rsidRPr="004F4312" w:rsidTr="004F431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Fornecer informação pérfida do objeto contratado;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02</w:t>
            </w:r>
          </w:p>
        </w:tc>
      </w:tr>
      <w:tr w:rsidR="004F4312" w:rsidRPr="004F4312" w:rsidTr="004F431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Burlar as vedações expressas no projeto básico,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02</w:t>
            </w:r>
          </w:p>
        </w:tc>
      </w:tr>
      <w:tr w:rsidR="004F4312" w:rsidRPr="004F4312" w:rsidTr="004F4312">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Para os itens a seguir, deixar de:</w:t>
            </w:r>
          </w:p>
        </w:tc>
      </w:tr>
      <w:tr w:rsidR="004F4312" w:rsidRPr="004F4312" w:rsidTr="004F431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Cumprir prazo previamente estabelecido para execução de serviços,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03</w:t>
            </w:r>
          </w:p>
        </w:tc>
      </w:tr>
      <w:tr w:rsidR="004F4312" w:rsidRPr="004F4312" w:rsidTr="004F431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Apresentar os produtos conforme exigido,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02</w:t>
            </w:r>
          </w:p>
        </w:tc>
      </w:tr>
      <w:tr w:rsidR="004F4312" w:rsidRPr="004F4312" w:rsidTr="004F431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Manter a documentação de habilitação atualizada,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01</w:t>
            </w:r>
          </w:p>
        </w:tc>
      </w:tr>
      <w:tr w:rsidR="004F4312" w:rsidRPr="004F4312" w:rsidTr="004F431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Cumprir quaisquer dos itens do Edital e seus Anexos não previstos nesta tabela de multas, após reincidência formalmente notificada pelo órgão fiscalizador,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03</w:t>
            </w:r>
          </w:p>
        </w:tc>
      </w:tr>
    </w:tbl>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incidente sobre a parte inadimplida do contrato"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10. DA UTILIZAÇÃO DA ATA</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10.2. É facultada aos órgãos s ou entidades municipais, distritais ou estaduais a adesão a ata de registro de preços da Administração Pública Estadual.</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4F4312">
        <w:rPr>
          <w:rFonts w:ascii="Arial" w:hAnsi="Arial" w:cs="Arial"/>
          <w:bCs/>
          <w:color w:val="000000"/>
          <w:sz w:val="16"/>
          <w:szCs w:val="16"/>
        </w:rPr>
        <w:t>independente</w:t>
      </w:r>
      <w:proofErr w:type="spellEnd"/>
      <w:r w:rsidRPr="004F4312">
        <w:rPr>
          <w:rFonts w:ascii="Arial" w:hAnsi="Arial" w:cs="Arial"/>
          <w:bCs/>
          <w:color w:val="000000"/>
          <w:sz w:val="16"/>
          <w:szCs w:val="16"/>
        </w:rPr>
        <w:t xml:space="preserve"> do número de órgãos não participantes que aderirem.</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10.6. Caberá ao órgão que se utilizar da ata, verificar a vantagem econômica da adesão a este Registro de Preço.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11. DA ALTERAÇÃO DA ATA DE REGISTRO DE PREÇOS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11.4. A ordem de classificação dos fornecedores que aceitarem reduzir seus preços aos valores de mercado observará a classificação original.</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11.5. Quando o preço de mercado tornar-se superior aos preços registrados, e o fornecedor não puder cumprir o compromisso, o órgão gerenciador poderá:</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11.5.2. Convocar os demais fornecedores para assegurar igual oportunidade de negociação;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12. DAS OBRIGAÇÕES DA DETENTORA DO REGISTRO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12.2. Dispor-se a toda e qualquer fiscalização, no tocante ao fornecimento do produto, assim como ao cumprimento das obrigações previstas na ATA;</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12.6. Respeitar e fazer cumprir a legislação de segurança e saúde no trabalho, previstas nas normas regulamentadoras pertinentes;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12.10. Todos os impostos e taxas que forem devidos em decorrência das contratações do objeto do Edital correrão por conta exclusiva da contratada;</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13. DAS OBRIGAÇÕES DOS ÓRGÃOS REQUISITANTES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13.1. Proporcionar todas as facilidades indispensáveis à boa execução das obrigações contratuais;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13.2. Rejeitar, no todo ou em parte, os objetos desta Ata entregues em desacordo com as obrigações assumidas pelo fornecedor;</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13.3. Notificar a CONTRATADA de qualquer irregularidade encontrada no fornecimento dos objetos desta Ata;</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13.4. Efetuar o pagamento à(s) contratada(s) de acordo com as condições de preços e prazos estabelecidos no edital e ata de registro de preços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xml:space="preserve">13.6. Não haverá </w:t>
      </w:r>
      <w:proofErr w:type="spellStart"/>
      <w:r w:rsidRPr="004F4312">
        <w:rPr>
          <w:rFonts w:ascii="Arial" w:hAnsi="Arial" w:cs="Arial"/>
          <w:bCs/>
          <w:color w:val="000000"/>
          <w:sz w:val="16"/>
          <w:szCs w:val="16"/>
        </w:rPr>
        <w:t>sob-hipótese</w:t>
      </w:r>
      <w:proofErr w:type="spellEnd"/>
      <w:r w:rsidRPr="004F4312">
        <w:rPr>
          <w:rFonts w:ascii="Arial" w:hAnsi="Arial" w:cs="Arial"/>
          <w:bCs/>
          <w:color w:val="000000"/>
          <w:sz w:val="16"/>
          <w:szCs w:val="16"/>
        </w:rPr>
        <w:t xml:space="preserve"> alguma, pagamento antecipado.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14. DOS ÓRGÃOS PARTICIPANTES: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14.1. É participante desta ata o seguinte órgão pertencente à Administração Pública do Estado de Rondônia:</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xml:space="preserve">IDARON - Agência de Defesa Sanitária </w:t>
      </w:r>
      <w:proofErr w:type="spellStart"/>
      <w:r w:rsidRPr="004F4312">
        <w:rPr>
          <w:rFonts w:ascii="Arial" w:hAnsi="Arial" w:cs="Arial"/>
          <w:bCs/>
          <w:color w:val="000000"/>
          <w:sz w:val="16"/>
          <w:szCs w:val="16"/>
        </w:rPr>
        <w:t>Agrossilvopastoril</w:t>
      </w:r>
      <w:proofErr w:type="spellEnd"/>
      <w:r w:rsidRPr="004F4312">
        <w:rPr>
          <w:rFonts w:ascii="Arial" w:hAnsi="Arial" w:cs="Arial"/>
          <w:bCs/>
          <w:color w:val="000000"/>
          <w:sz w:val="16"/>
          <w:szCs w:val="16"/>
        </w:rPr>
        <w:t xml:space="preserve"> do Estado de Rondônia.</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15.  DISPOSIÇÕES GERAIS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lastRenderedPageBreak/>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w:t>
      </w:r>
    </w:p>
    <w:p w:rsidR="004F4312" w:rsidRPr="004F4312" w:rsidRDefault="004F4312" w:rsidP="004F4312">
      <w:pPr>
        <w:ind w:left="120" w:right="120"/>
        <w:jc w:val="both"/>
        <w:rPr>
          <w:rFonts w:ascii="Arial" w:hAnsi="Arial" w:cs="Arial"/>
          <w:bCs/>
          <w:color w:val="000000"/>
          <w:sz w:val="16"/>
          <w:szCs w:val="16"/>
        </w:rPr>
      </w:pPr>
      <w:r w:rsidRPr="004F4312">
        <w:rPr>
          <w:rFonts w:ascii="Arial" w:hAnsi="Arial" w:cs="Arial"/>
          <w:bCs/>
          <w:color w:val="000000"/>
          <w:sz w:val="16"/>
          <w:szCs w:val="16"/>
        </w:rPr>
        <w:t>        Fica eleito o foro do Município de Porto Velho/RO para dirimir as eventuais controvérsias decorrentes do presente ajuste.</w:t>
      </w:r>
    </w:p>
    <w:p w:rsidR="00067B8E" w:rsidRDefault="00067B8E" w:rsidP="009D2314">
      <w:pPr>
        <w:jc w:val="both"/>
        <w:rPr>
          <w:rFonts w:ascii="Arial" w:hAnsi="Arial" w:cs="Arial"/>
          <w:bCs/>
          <w:color w:val="000000"/>
          <w:sz w:val="16"/>
          <w:szCs w:val="16"/>
        </w:rPr>
      </w:pPr>
    </w:p>
    <w:p w:rsidR="004F4312" w:rsidRDefault="004F4312" w:rsidP="009D2314">
      <w:pPr>
        <w:jc w:val="both"/>
        <w:rPr>
          <w:rFonts w:ascii="Arial" w:hAnsi="Arial" w:cs="Arial"/>
          <w:bCs/>
          <w:color w:val="000000"/>
          <w:sz w:val="16"/>
          <w:szCs w:val="16"/>
        </w:rPr>
      </w:pPr>
    </w:p>
    <w:p w:rsidR="004F4312" w:rsidRPr="004F4312" w:rsidRDefault="004F4312" w:rsidP="009D2314">
      <w:pPr>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w:t>
      </w:r>
      <w:r w:rsidR="00BB3B62">
        <w:rPr>
          <w:rFonts w:ascii="Arial" w:hAnsi="Arial" w:cs="Arial"/>
          <w:bCs/>
          <w:color w:val="000000"/>
          <w:sz w:val="16"/>
          <w:szCs w:val="16"/>
        </w:rPr>
        <w:t xml:space="preserve">                </w:t>
      </w:r>
      <w:r w:rsidR="00187082">
        <w:rPr>
          <w:rFonts w:ascii="Arial" w:hAnsi="Arial" w:cs="Arial"/>
          <w:bCs/>
          <w:color w:val="000000"/>
          <w:sz w:val="16"/>
          <w:szCs w:val="16"/>
        </w:rPr>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7300F7" w:rsidP="00526790">
      <w:pPr>
        <w:ind w:right="47"/>
        <w:jc w:val="both"/>
        <w:rPr>
          <w:rFonts w:ascii="Arial" w:hAnsi="Arial" w:cs="Arial"/>
          <w:b/>
          <w:bCs/>
          <w:color w:val="000000"/>
          <w:sz w:val="12"/>
          <w:szCs w:val="12"/>
        </w:rPr>
      </w:pPr>
      <w:r>
        <w:rPr>
          <w:rFonts w:ascii="Arial" w:hAnsi="Arial" w:cs="Arial"/>
          <w:b/>
          <w:bCs/>
          <w:color w:val="000000"/>
          <w:sz w:val="12"/>
          <w:szCs w:val="12"/>
        </w:rPr>
        <w:t>MCG</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B397713"/>
    <w:multiLevelType w:val="multilevel"/>
    <w:tmpl w:val="C6FC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9C73CD8"/>
    <w:multiLevelType w:val="multilevel"/>
    <w:tmpl w:val="E00C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7985575"/>
    <w:multiLevelType w:val="multilevel"/>
    <w:tmpl w:val="55A4F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8F45059"/>
    <w:multiLevelType w:val="multilevel"/>
    <w:tmpl w:val="3558E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5"/>
    <w:lvlOverride w:ilvl="0">
      <w:startOverride w:val="2"/>
    </w:lvlOverride>
  </w:num>
  <w:num w:numId="3">
    <w:abstractNumId w:val="9"/>
    <w:lvlOverride w:ilvl="0">
      <w:startOverride w:val="3"/>
    </w:lvlOverride>
  </w:num>
  <w:num w:numId="4">
    <w:abstractNumId w:val="32"/>
    <w:lvlOverride w:ilvl="0">
      <w:startOverride w:val="4"/>
    </w:lvlOverride>
  </w:num>
  <w:num w:numId="5">
    <w:abstractNumId w:val="39"/>
    <w:lvlOverride w:ilvl="0">
      <w:startOverride w:val="5"/>
    </w:lvlOverride>
  </w:num>
  <w:num w:numId="6">
    <w:abstractNumId w:val="20"/>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43"/>
  </w:num>
  <w:num w:numId="11">
    <w:abstractNumId w:val="19"/>
    <w:lvlOverride w:ilvl="0">
      <w:startOverride w:val="2"/>
    </w:lvlOverride>
  </w:num>
  <w:num w:numId="12">
    <w:abstractNumId w:val="42"/>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41"/>
    <w:lvlOverride w:ilvl="0">
      <w:startOverride w:val="6"/>
    </w:lvlOverride>
  </w:num>
  <w:num w:numId="16">
    <w:abstractNumId w:val="28"/>
    <w:lvlOverride w:ilvl="0">
      <w:startOverride w:val="7"/>
    </w:lvlOverride>
  </w:num>
  <w:num w:numId="17">
    <w:abstractNumId w:val="45"/>
    <w:lvlOverride w:ilvl="0">
      <w:startOverride w:val="8"/>
    </w:lvlOverride>
  </w:num>
  <w:num w:numId="18">
    <w:abstractNumId w:val="37"/>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4"/>
    <w:lvlOverride w:ilvl="0">
      <w:startOverride w:val="12"/>
    </w:lvlOverride>
  </w:num>
  <w:num w:numId="22">
    <w:abstractNumId w:val="16"/>
    <w:lvlOverride w:ilvl="0">
      <w:startOverride w:val="13"/>
    </w:lvlOverride>
  </w:num>
  <w:num w:numId="23">
    <w:abstractNumId w:val="8"/>
    <w:lvlOverride w:ilvl="0">
      <w:startOverride w:val="14"/>
    </w:lvlOverride>
  </w:num>
  <w:num w:numId="24">
    <w:abstractNumId w:val="27"/>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6"/>
    <w:lvlOverride w:ilvl="0">
      <w:startOverride w:val="18"/>
    </w:lvlOverride>
  </w:num>
  <w:num w:numId="28">
    <w:abstractNumId w:val="29"/>
    <w:lvlOverride w:ilvl="0">
      <w:startOverride w:val="19"/>
    </w:lvlOverride>
  </w:num>
  <w:num w:numId="29">
    <w:abstractNumId w:val="5"/>
    <w:lvlOverride w:ilvl="0">
      <w:startOverride w:val="20"/>
    </w:lvlOverride>
  </w:num>
  <w:num w:numId="30">
    <w:abstractNumId w:val="38"/>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5"/>
    <w:lvlOverride w:ilvl="0">
      <w:startOverride w:val="2"/>
    </w:lvlOverride>
  </w:num>
  <w:num w:numId="35">
    <w:abstractNumId w:val="33"/>
    <w:lvlOverride w:ilvl="0">
      <w:startOverride w:val="3"/>
    </w:lvlOverride>
  </w:num>
  <w:num w:numId="36">
    <w:abstractNumId w:val="34"/>
    <w:lvlOverride w:ilvl="0">
      <w:startOverride w:val="4"/>
    </w:lvlOverride>
  </w:num>
  <w:num w:numId="37">
    <w:abstractNumId w:val="13"/>
    <w:lvlOverride w:ilvl="0">
      <w:startOverride w:val="5"/>
    </w:lvlOverride>
  </w:num>
  <w:num w:numId="38">
    <w:abstractNumId w:val="23"/>
    <w:lvlOverride w:ilvl="0">
      <w:startOverride w:val="6"/>
    </w:lvlOverride>
  </w:num>
  <w:num w:numId="39">
    <w:abstractNumId w:val="17"/>
    <w:lvlOverride w:ilvl="0">
      <w:startOverride w:val="7"/>
    </w:lvlOverride>
  </w:num>
  <w:num w:numId="40">
    <w:abstractNumId w:val="22"/>
    <w:lvlOverride w:ilvl="0">
      <w:startOverride w:val="8"/>
    </w:lvlOverride>
  </w:num>
  <w:num w:numId="41">
    <w:abstractNumId w:val="40"/>
    <w:lvlOverride w:ilvl="0">
      <w:startOverride w:val="9"/>
    </w:lvlOverride>
  </w:num>
  <w:num w:numId="42">
    <w:abstractNumId w:val="18"/>
  </w:num>
  <w:num w:numId="43">
    <w:abstractNumId w:val="14"/>
  </w:num>
  <w:num w:numId="44">
    <w:abstractNumId w:val="30"/>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4312"/>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5D2B"/>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95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80824130">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2DCBF4-A6C0-4E40-AE47-7B941FBFB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3380</Words>
  <Characters>19187</Characters>
  <Application>Microsoft Office Word</Application>
  <DocSecurity>0</DocSecurity>
  <Lines>159</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2021-02-12T15:30:00Z</dcterms:created>
  <dcterms:modified xsi:type="dcterms:W3CDTF">2021-02-12T15:32:00Z</dcterms:modified>
</cp:coreProperties>
</file>