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C6C" w:rsidRDefault="00FF5C6C" w:rsidP="00531DA4">
      <w:pPr>
        <w:pStyle w:val="Cabealho"/>
        <w:jc w:val="center"/>
      </w:pPr>
    </w:p>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rsidR="00171B57" w:rsidRPr="00171B57" w:rsidRDefault="00171B57" w:rsidP="00171B57">
      <w:pPr>
        <w:ind w:right="47"/>
        <w:rPr>
          <w:rFonts w:ascii="Arial" w:hAnsi="Arial" w:cs="Arial"/>
          <w:b/>
          <w:bCs/>
          <w:color w:val="000000"/>
          <w:sz w:val="16"/>
          <w:szCs w:val="16"/>
        </w:rPr>
      </w:pPr>
      <w:r w:rsidRPr="00171B57">
        <w:rPr>
          <w:rFonts w:ascii="Arial" w:hAnsi="Arial" w:cs="Arial"/>
          <w:b/>
          <w:bCs/>
          <w:color w:val="000000"/>
          <w:sz w:val="16"/>
          <w:szCs w:val="16"/>
        </w:rPr>
        <w:t>ATA DE REGISTRO DE PREÇOS N° 032/2021</w:t>
      </w:r>
    </w:p>
    <w:p w:rsidR="00171B57" w:rsidRPr="00171B57" w:rsidRDefault="00171B57" w:rsidP="00171B57">
      <w:pPr>
        <w:ind w:right="47"/>
        <w:rPr>
          <w:rFonts w:ascii="Arial" w:hAnsi="Arial" w:cs="Arial"/>
          <w:b/>
          <w:bCs/>
          <w:color w:val="000000"/>
          <w:sz w:val="16"/>
          <w:szCs w:val="16"/>
        </w:rPr>
      </w:pPr>
      <w:r w:rsidRPr="00171B57">
        <w:rPr>
          <w:rFonts w:ascii="Arial" w:hAnsi="Arial" w:cs="Arial"/>
          <w:b/>
          <w:bCs/>
          <w:color w:val="000000"/>
          <w:sz w:val="16"/>
          <w:szCs w:val="16"/>
        </w:rPr>
        <w:t>PREGÃO ELETRÔNICO Nº 735/2020</w:t>
      </w:r>
    </w:p>
    <w:p w:rsidR="00171B57" w:rsidRPr="00171B57" w:rsidRDefault="00171B57" w:rsidP="00171B57">
      <w:pPr>
        <w:ind w:right="47"/>
        <w:rPr>
          <w:rFonts w:ascii="Arial" w:hAnsi="Arial" w:cs="Arial"/>
          <w:b/>
          <w:bCs/>
          <w:color w:val="000000"/>
          <w:sz w:val="16"/>
          <w:szCs w:val="16"/>
        </w:rPr>
      </w:pPr>
      <w:r w:rsidRPr="00171B57">
        <w:rPr>
          <w:rFonts w:ascii="Arial" w:hAnsi="Arial" w:cs="Arial"/>
          <w:b/>
          <w:bCs/>
          <w:color w:val="000000"/>
          <w:sz w:val="16"/>
          <w:szCs w:val="16"/>
        </w:rPr>
        <w:t>PROCESSO Nº 0036.310724/2020-11</w:t>
      </w:r>
    </w:p>
    <w:p w:rsidR="00171B57" w:rsidRPr="00171B57" w:rsidRDefault="00171B57" w:rsidP="00171B57">
      <w:pPr>
        <w:ind w:right="47"/>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REGISTRAR O PREÇO para futura e eventual contratação aquisição de </w:t>
      </w:r>
      <w:proofErr w:type="spellStart"/>
      <w:r w:rsidRPr="00171B57">
        <w:rPr>
          <w:rFonts w:ascii="Arial" w:hAnsi="Arial" w:cs="Arial"/>
          <w:bCs/>
          <w:color w:val="000000"/>
          <w:sz w:val="16"/>
          <w:szCs w:val="16"/>
        </w:rPr>
        <w:t>equipos</w:t>
      </w:r>
      <w:proofErr w:type="spellEnd"/>
      <w:r w:rsidRPr="00171B57">
        <w:rPr>
          <w:rFonts w:ascii="Arial" w:hAnsi="Arial" w:cs="Arial"/>
          <w:bCs/>
          <w:color w:val="000000"/>
          <w:sz w:val="16"/>
          <w:szCs w:val="16"/>
        </w:rPr>
        <w:t xml:space="preserve"> gravitacionais e frascos para Nutrição Enteral a fim de atender demanda do Hospital de Base Dr. Ary Pinheiro - HBAP, Assistência Médica Intensiva – AMI-24h, Hospital Estadual e Pronto Socorro João Paulo II – HEPSJP-II, Hospital Infantil Cosme e Damião - HICD, Hospital de Urgência e Emergência de Cacoal – HEURO, Hospital Regional de Cacoal - HRC, Centro de Medicina Tropical de Rondônia – CEMETRON, Hospital Regional de Buritis - HRB, Hospital Regional de São Francisco - HRSF, Hospital de Campanha de Rondônia - HCRO, Hospital de Campanha da Zona Leste - HCZL (CERO-COVID-19) e Pacientes domiciliares atendidos pelo Programa de Terapia Nutricional Enteral Domiciliar, PTNED, que inclui pacientes acompanhados pelo Serviço de Assistência Multidisciplinar Domiciliar – SAMD, Pacientes domiciliares atendidos administrativamente, demandantes do Núcleo de Mandados Judiciais e do Núcleo de Apoio e Conciliação – NAC, a pedido Secretaria de Estado da Saúde - SESAU/RO,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 DO OBJETO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Registro de Preços para futura e eventual aquisição de </w:t>
      </w:r>
      <w:proofErr w:type="spellStart"/>
      <w:r w:rsidRPr="00171B57">
        <w:rPr>
          <w:rFonts w:ascii="Arial" w:hAnsi="Arial" w:cs="Arial"/>
          <w:bCs/>
          <w:color w:val="000000"/>
          <w:sz w:val="16"/>
          <w:szCs w:val="16"/>
        </w:rPr>
        <w:t>equipos</w:t>
      </w:r>
      <w:proofErr w:type="spellEnd"/>
      <w:r w:rsidRPr="00171B57">
        <w:rPr>
          <w:rFonts w:ascii="Arial" w:hAnsi="Arial" w:cs="Arial"/>
          <w:bCs/>
          <w:color w:val="000000"/>
          <w:sz w:val="16"/>
          <w:szCs w:val="16"/>
        </w:rPr>
        <w:t xml:space="preserve"> gravitacionais e frascos para Nutrição Enteral a fim de atender demanda do Hospital de Base Dr. Ary Pinheiro - HBAP, Assistência Médica Intensiva – AMI-24h, Hospital Estadual e Pronto Socorro João Paulo II – HEPSJP-II, Hospital Infantil Cosme e Damião - HICD, Hospital de Urgência e Emergência de Cacoal – HEURO, Hospital Regional de Cacoal - HRC, Centro de Medicina Tropical de Rondônia – CEMETRON, Hospital Regional de Buritis - HRB, Hospital Regional de São Francisco - HRSF, Hospital de Campanha de Rondônia - HCRO, Hospital de Campanha da Zona Leste - HCZL (CERO-COVID-19) e Pacientes domiciliares atendidos pelo Programa de Terapia Nutricional Enteral Domiciliar, PTNED, que inclui pacientes acompanhados pelo Serviço de Assistência Multidisciplinar Domiciliar – SAMD, Pacientes domiciliares atendidos administrativamente, demandantes do Núcleo de Mandados Judiciais e do Núcleo de Apoio e Conciliação – NAC, a pedido Secretaria de Estado da Saúde - SESAU/RO.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2. DA VIGÊNCIA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2.1. O presente Registro de Preços terá validade de 12 (doze) meses, contados a partir de sua publicação no Diário Oficial do Estado.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3. DA GERÊNCIA DA PRESENTE ATA DE REGISTRO DE PREÇOS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4. DA ESPECIFICAÇÃO, QUANTIDADE E PREÇO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4.1. O preço, a quantidade, o fornecedor e a especificação do item registrado nesta Ata, encontram-se indicados no Anexo I deste instrumento.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5. PRAZOS E CONDIÇÕES DE FORNECIMENTO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A DETENTORA do registro de preços se obriga, nos termos do Edital e deste instrumento, 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5.1. Retirar a Nota de Empenho junto ao órgão solicitante no prazo de até 05 (cinco) dias, contados da convocação;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5.2. Iniciar o fornecimento do objeto dessa Ata, conforme prazo estabelecido no Termo de Referência e edital de licitações.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6. DO PRAZO E LOCAL/INSTALAÇÃO DE ENTREGA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6.3. DO PRAZO DE ENTREGA: O fornecedor tem a obrigação de entregar o material no prazo de até 30 dias após o recebimento da Nota de Empenho.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6.4. DO LOCAL DE ENTREGA: Os materiais deverão ser entregues na Coordenadoria Estadual de Nutrição Enteral sito à Rua: Aparício Moraes, n° 4348, Galpão C – Setor Industrial – Porto Velho/Rondônia – CEP: 76.821-240. Tel. (69) 3222-0509.</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7.  DAS CONDIÇÕES DE PAGAMENTO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7.1. A empresa detentora da Ata apresentará a Gerência Financeira do Órgão requisitante a nota fiscal referente ao fornecimento efetuado.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7.2. O respectivo Órgão terá o prazo de 10 (dez) dias úteis, a contar da apresentação da nota fiscal para aceitá-la ou rejeitá-la.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171B57">
        <w:rPr>
          <w:rFonts w:ascii="Arial" w:hAnsi="Arial" w:cs="Arial"/>
          <w:bCs/>
          <w:color w:val="000000"/>
          <w:sz w:val="16"/>
          <w:szCs w:val="16"/>
        </w:rPr>
        <w:t>a</w:t>
      </w:r>
      <w:proofErr w:type="gramEnd"/>
      <w:r w:rsidRPr="00171B57">
        <w:rPr>
          <w:rFonts w:ascii="Arial" w:hAnsi="Arial" w:cs="Arial"/>
          <w:bCs/>
          <w:color w:val="000000"/>
          <w:sz w:val="16"/>
          <w:szCs w:val="16"/>
        </w:rPr>
        <w:t xml:space="preserve"> partir da data de sua reapresentação.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7.4. A devolução da nota fiscal não aprovada, em hipótese alguma, servirá de pretexto para que a empresa detentora da Ata suspenda quaisquer fornecimentos.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8.  DA DOTAÇÃO ORÇAMENTÁRIA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lastRenderedPageBreak/>
        <w:t>9. DAS SANÇÕES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9.1 - Além das penalidades previstas na Lei nº. 8.666/93, a CONTRATADA estará sujeita as sanções previstas no art. 87, da mesma lei, pela inexecução total ou parcial do objeto do contrato, originado deste instrumento de aquisição, conforme segue:</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9.3. Salvo ocorrência de caso fortuito ou de força maior, devidamente justificada e comprovada, o não cumprimento, por parte da empresa, das obrigações assumidas, ou a infringência de preceitos legais pertinentes, ensejará a aplicação, segundo a gravidade da falta, das seguintes penalidades;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9.4. Advertência, sempre que for constatada irregularidade de pouca gravidade, para as quais tenha a Contratada concorrida diretamente, ocorrência que será registrada no Cadastro de Fornecedores do Estado de Rondônia;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9.5. Multa de 0,2% (dois décimos por cento) ao dia, por atraso no fornecimento e por entrega em desacordo com as especificações estabelecidas neste Termo de Referência, até o décimo dia corrido;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9.6. Sem prejuízo das sanções cominadas no art. 87, I, III e IV, da Lei nº 8.666/93, multa de 10% (dez por cento), na hipótese de inexecução parcial ou total de cada Nota de Empenho, calculada sobre o valor total da inadimplência ou na hipótese do não cumprimento de qualquer das obrigações assumidas, garantida a prévia e ampla defesa;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xml:space="preserve">9.7. Depois de esgotado o(s) prazo(s) concedido(s), conforme item 4.3.6, </w:t>
      </w:r>
      <w:proofErr w:type="spellStart"/>
      <w:r w:rsidRPr="00171B57">
        <w:rPr>
          <w:rFonts w:ascii="Arial" w:hAnsi="Arial" w:cs="Arial"/>
          <w:bCs/>
          <w:color w:val="000000"/>
          <w:sz w:val="16"/>
          <w:szCs w:val="16"/>
        </w:rPr>
        <w:t>esta</w:t>
      </w:r>
      <w:proofErr w:type="spellEnd"/>
      <w:r w:rsidRPr="00171B57">
        <w:rPr>
          <w:rFonts w:ascii="Arial" w:hAnsi="Arial" w:cs="Arial"/>
          <w:bCs/>
          <w:color w:val="000000"/>
          <w:sz w:val="16"/>
          <w:szCs w:val="16"/>
        </w:rPr>
        <w:t xml:space="preserve"> SESAU/RO, aplicará a multa por atraso na entrega de 0,5% ao dia até o limite de 10% sobre o valor da parte inadimplida, e, entendendo necessário, aplicará as sanções administrativas previstas na Lei 8.666/93, art. 86 a 88;</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9.8.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9.9.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 penalidade no SICAFI e no CAGEFIMP (Cadastro de Fornecedores Impedidos de Licitar e Contratar com a Administração Pública Estadual).</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9.10.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9.11. As multas previstas nesta seção não eximem a adjudicatária ou contratada da reparação dos eventuais danos, perdas ou prejuízos que seu ato punível venha causar à Administração.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9.12.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9.13.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9.14. As sanções serão aplicadas sem prejuízo da responsabilidade civil e criminal que possa ser acionada em desfavor da Contratada, conforme infração cometida e prejuízos causados à administração ou a terceiros.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9.15. Para efeito de aplicação de multas, às infrações são atribuídos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0"/>
        <w:gridCol w:w="9052"/>
        <w:gridCol w:w="540"/>
        <w:gridCol w:w="875"/>
      </w:tblGrid>
      <w:tr w:rsidR="00171B57" w:rsidRPr="00171B57" w:rsidTr="00171B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MULTA*</w:t>
            </w:r>
          </w:p>
        </w:tc>
      </w:tr>
      <w:tr w:rsidR="00171B57" w:rsidRPr="00171B57" w:rsidTr="00171B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xml:space="preserve">Permitir situação que crie a possibilidade ou cause </w:t>
            </w:r>
            <w:proofErr w:type="spellStart"/>
            <w:r w:rsidRPr="00171B57">
              <w:rPr>
                <w:rFonts w:ascii="Arial" w:hAnsi="Arial" w:cs="Arial"/>
                <w:bCs/>
                <w:color w:val="000000"/>
                <w:sz w:val="16"/>
                <w:szCs w:val="16"/>
              </w:rPr>
              <w:t>dano</w:t>
            </w:r>
            <w:proofErr w:type="spellEnd"/>
            <w:r w:rsidRPr="00171B57">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4,0% por dia</w:t>
            </w:r>
          </w:p>
        </w:tc>
      </w:tr>
      <w:tr w:rsidR="00171B57" w:rsidRPr="00171B57" w:rsidTr="00171B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Suspender ou interromper, salvo por motivo de força maior ou caso fortuito, fornecimento do objeto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3,2% por dia</w:t>
            </w:r>
          </w:p>
        </w:tc>
      </w:tr>
      <w:tr w:rsidR="00171B57" w:rsidRPr="00171B57" w:rsidTr="00171B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Recusar-se entregar os bens determinados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1,6% por dia</w:t>
            </w:r>
          </w:p>
        </w:tc>
      </w:tr>
      <w:tr w:rsidR="00171B57" w:rsidRPr="00171B57" w:rsidTr="00171B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0,4% por dia</w:t>
            </w:r>
          </w:p>
        </w:tc>
      </w:tr>
      <w:tr w:rsidR="00171B57" w:rsidRPr="00171B57" w:rsidTr="00171B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Fornecer informação pérfida sobre 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0,4% por dia</w:t>
            </w:r>
          </w:p>
        </w:tc>
      </w:tr>
      <w:tr w:rsidR="00171B57" w:rsidRPr="00171B57" w:rsidTr="00171B5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Para os itens a seguir, deixar de:</w:t>
            </w:r>
          </w:p>
        </w:tc>
      </w:tr>
      <w:tr w:rsidR="00171B57" w:rsidRPr="00171B57" w:rsidTr="00171B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Efetuar reposição de materiais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1,6% por dia</w:t>
            </w:r>
          </w:p>
        </w:tc>
      </w:tr>
      <w:tr w:rsidR="00171B57" w:rsidRPr="00171B57" w:rsidTr="00171B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0,8% por dia</w:t>
            </w:r>
          </w:p>
        </w:tc>
      </w:tr>
      <w:tr w:rsidR="00171B57" w:rsidRPr="00171B57" w:rsidTr="00171B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0,8% por dia</w:t>
            </w:r>
          </w:p>
        </w:tc>
      </w:tr>
      <w:tr w:rsidR="00171B57" w:rsidRPr="00171B57" w:rsidTr="00171B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Iniciar fornecimento nos prazos estabelecidos, observados os limites mínimos estabelecidos,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0,4% por dia</w:t>
            </w:r>
          </w:p>
        </w:tc>
      </w:tr>
      <w:tr w:rsidR="00171B57" w:rsidRPr="00171B57" w:rsidTr="00171B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0,2% por dia</w:t>
            </w:r>
          </w:p>
        </w:tc>
      </w:tr>
      <w:tr w:rsidR="00171B57" w:rsidRPr="00171B57" w:rsidTr="00171B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proofErr w:type="spellStart"/>
            <w:r w:rsidRPr="00171B57">
              <w:rPr>
                <w:rFonts w:ascii="Arial" w:hAnsi="Arial" w:cs="Arial"/>
                <w:bCs/>
                <w:color w:val="000000"/>
                <w:sz w:val="16"/>
                <w:szCs w:val="16"/>
              </w:rPr>
              <w:t>Fornecer</w:t>
            </w:r>
            <w:proofErr w:type="spellEnd"/>
            <w:r w:rsidRPr="00171B57">
              <w:rPr>
                <w:rFonts w:ascii="Arial" w:hAnsi="Arial" w:cs="Arial"/>
                <w:bCs/>
                <w:color w:val="000000"/>
                <w:sz w:val="16"/>
                <w:szCs w:val="16"/>
              </w:rPr>
              <w:t xml:space="preserve">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0,2% por dia</w:t>
            </w:r>
          </w:p>
        </w:tc>
      </w:tr>
    </w:tbl>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*incidente sobre a parte inadimplida do contrato.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9.16. As sanções aqui previstas poderão ser aplicadas concomitantemente, facultada a defesa prévia do interessado, no respectivo processo, no prazo de 05 (cinco) dias úteis.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9.17. Após 30 (trinta) dias da falta de execução do objeto, será considerada inexecução total do contrato, o que ensejará a rescisão contratual.</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9.18. As sanções de natureza pecuniária serão diretamente descontadas de créditos que eventualmente detenha a CONTRATADA ou efetuada a sua cobrança na forma prevista em lei.</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9.19.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9.20. A autoridade competente, na aplicação das sanções, levará em consideração a gravidade da conduta do infrator, o caráter educativo da pena, bem como o dano causado à Administração, observado o princípio da proporcionalidade.</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9.21. A sanção será obrigatoriamente registrada no Sistema de Cadastramento Unificado de Fornecedores – SICAF, bem como em sistemas Estaduais.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9.22.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a) Tenham sofrido condenações definitivas por praticarem, por meio dolosos, fraude fiscal no recolhimento de tributos;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b) Tenham praticado atos ilícitos visando a frustrar os objetivos da licitação;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c) Demonstrem não possuir idoneidade para contratar com a Administração em virtude de atos ilícitos praticados.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lastRenderedPageBreak/>
        <w:t>9.23. O licitante que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desta Lei, pelo prazo de até 5 (cinco) anos, sem prejuízo das multas previstas em edital e no contrato e das demais cominações legais.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9.24. As sanções são independentes e a aplicação de uma não exclui a das outras.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10. DA UTILIZAÇÃO DA ATA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10.2. É facultada aos órgãos s ou entidades municipais, distritais ou estaduais a adesão a ata de registro de preços da Administração Pública Estadual.</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xml:space="preserve">10.5. As adesões à ata de registro de preços não poderão exceder, na totalidade, ao dobro do quantitativo de cada item registrado na ata de registro de preços para o órgão gerenciador e órgãos participantes, </w:t>
      </w:r>
      <w:proofErr w:type="spellStart"/>
      <w:r w:rsidRPr="00171B57">
        <w:rPr>
          <w:rFonts w:ascii="Arial" w:hAnsi="Arial" w:cs="Arial"/>
          <w:bCs/>
          <w:color w:val="000000"/>
          <w:sz w:val="16"/>
          <w:szCs w:val="16"/>
        </w:rPr>
        <w:t>independente</w:t>
      </w:r>
      <w:proofErr w:type="spellEnd"/>
      <w:r w:rsidRPr="00171B57">
        <w:rPr>
          <w:rFonts w:ascii="Arial" w:hAnsi="Arial" w:cs="Arial"/>
          <w:bCs/>
          <w:color w:val="000000"/>
          <w:sz w:val="16"/>
          <w:szCs w:val="16"/>
        </w:rPr>
        <w:t xml:space="preserve"> do número de órgãos não participantes que aderirem.</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10.6. Caberá ao órgão que se utilizar da ata, verificar a vantagem econômica da adesão a este Registro de Preço.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11. DA ALTERAÇÃO DA ATA DE REGISTRO DE PREÇOS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11.4. A ordem de classificação dos fornecedores que aceitarem reduzir seus preços aos valores de mercado observará a classificação original.</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xml:space="preserve">11.5. Quando o preço de mercado tornar-se superior aos preços registrados, e o fornecedor não puder cumprir o </w:t>
      </w:r>
      <w:proofErr w:type="gramStart"/>
      <w:r w:rsidRPr="00171B57">
        <w:rPr>
          <w:rFonts w:ascii="Arial" w:hAnsi="Arial" w:cs="Arial"/>
          <w:bCs/>
          <w:color w:val="000000"/>
          <w:sz w:val="16"/>
          <w:szCs w:val="16"/>
        </w:rPr>
        <w:t>compromisso ,</w:t>
      </w:r>
      <w:proofErr w:type="gramEnd"/>
      <w:r w:rsidRPr="00171B57">
        <w:rPr>
          <w:rFonts w:ascii="Arial" w:hAnsi="Arial" w:cs="Arial"/>
          <w:bCs/>
          <w:color w:val="000000"/>
          <w:sz w:val="16"/>
          <w:szCs w:val="16"/>
        </w:rPr>
        <w:t xml:space="preserve"> o órgão gerenciador poderá:</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11.5.2. Convocar os demais fornecedores para assegurar igual oportunidade de negociação;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12. DAS OBRIGAÇÕES DA DETENTORA DO REGISTRO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12.2. Dispor-se a toda e qualquer fiscalização, no tocante ao fornecimento do produto, assim como ao cumprimento das obrigações previstas na ATA;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12.6. Respeitar e fazer cumprir a legislação de segurança e saúde no trabalho, previstas nas normas regulamentadoras pertinentes;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12.10. Todos os impostos e taxas que forem devidos em decorrência das contratações do objeto do Edital correrão por conta exclusiva da contratada;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13. DAS OBRIGAÇÕES DOS ÓRGÃOS REQUISITANTES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13.1. Proporcionar todas as facilidades indispensáveis à boa execução das obrigações contratuais;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13.2. Rejeitar, no todo ou em parte, os objetos desta Ata entregues em desacordo com as obrigações assumidas pelo fornecedor;</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13.3. Notificar a CONTRATADA de qualquer irregularidade encontrada no fornecimento dos objetos desta Ata;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13.4. Efetuar o pagamento à(s) contratada(s) de acordo com as condições de preços e prazos estabelecidos no edital e ata de registro de preços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xml:space="preserve">13.6. Não haverá </w:t>
      </w:r>
      <w:proofErr w:type="spellStart"/>
      <w:r w:rsidRPr="00171B57">
        <w:rPr>
          <w:rFonts w:ascii="Arial" w:hAnsi="Arial" w:cs="Arial"/>
          <w:bCs/>
          <w:color w:val="000000"/>
          <w:sz w:val="16"/>
          <w:szCs w:val="16"/>
        </w:rPr>
        <w:t>sob-hipótese</w:t>
      </w:r>
      <w:proofErr w:type="spellEnd"/>
      <w:r w:rsidRPr="00171B57">
        <w:rPr>
          <w:rFonts w:ascii="Arial" w:hAnsi="Arial" w:cs="Arial"/>
          <w:bCs/>
          <w:color w:val="000000"/>
          <w:sz w:val="16"/>
          <w:szCs w:val="16"/>
        </w:rPr>
        <w:t xml:space="preserve"> alguma, pagamento antecipado.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14. DOS ÓRGÃOS PARTICIPANTES: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14.1. É participante desta ata o seguinte órgão pertencente à Administração Pública do Estado de Rondônia:</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SESAU – Secretaria de Estado da Saúde.</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15.  DISPOSIÇÕES GERAIS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w:t>
      </w:r>
    </w:p>
    <w:p w:rsidR="00171B57" w:rsidRPr="00171B57" w:rsidRDefault="00171B57" w:rsidP="00171B57">
      <w:pPr>
        <w:ind w:right="47"/>
        <w:jc w:val="both"/>
        <w:rPr>
          <w:rFonts w:ascii="Arial" w:hAnsi="Arial" w:cs="Arial"/>
          <w:bCs/>
          <w:color w:val="000000"/>
          <w:sz w:val="16"/>
          <w:szCs w:val="16"/>
        </w:rPr>
      </w:pPr>
      <w:r w:rsidRPr="00171B57">
        <w:rPr>
          <w:rFonts w:ascii="Arial" w:hAnsi="Arial" w:cs="Arial"/>
          <w:bCs/>
          <w:color w:val="000000"/>
          <w:sz w:val="16"/>
          <w:szCs w:val="16"/>
        </w:rPr>
        <w:t>        Fica eleito o foro do Município de Porto Velho/RO para dirimir as eventuais controvérsias decorrentes do presente ajuste</w:t>
      </w:r>
    </w:p>
    <w:p w:rsidR="00647000" w:rsidRDefault="00647000" w:rsidP="00171B57">
      <w:pPr>
        <w:pStyle w:val="textojustificado"/>
        <w:spacing w:before="120" w:beforeAutospacing="0" w:after="120" w:afterAutospacing="0"/>
        <w:ind w:left="120" w:right="120"/>
        <w:jc w:val="both"/>
        <w:rPr>
          <w:rFonts w:ascii="Calibri" w:hAnsi="Calibri"/>
          <w:color w:val="000000"/>
          <w:sz w:val="27"/>
          <w:szCs w:val="27"/>
        </w:rPr>
      </w:pPr>
    </w:p>
    <w:p w:rsidR="00CF537F" w:rsidRPr="00CF537F" w:rsidRDefault="00CF537F" w:rsidP="00CF537F">
      <w:pPr>
        <w:pStyle w:val="textojustificado"/>
        <w:spacing w:before="120" w:beforeAutospacing="0" w:after="120" w:afterAutospacing="0"/>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BB3B62">
        <w:rPr>
          <w:rFonts w:ascii="Arial" w:hAnsi="Arial" w:cs="Arial"/>
          <w:bCs/>
          <w:color w:val="000000"/>
          <w:sz w:val="16"/>
          <w:szCs w:val="16"/>
        </w:rPr>
        <w:t xml:space="preserve">                </w:t>
      </w:r>
      <w:r w:rsidR="00187082">
        <w:rPr>
          <w:rFonts w:ascii="Arial" w:hAnsi="Arial" w:cs="Arial"/>
          <w:bCs/>
          <w:color w:val="000000"/>
          <w:sz w:val="16"/>
          <w:szCs w:val="16"/>
        </w:rPr>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CF537F" w:rsidRDefault="00CF537F" w:rsidP="00526790">
      <w:pPr>
        <w:ind w:right="47"/>
        <w:jc w:val="both"/>
        <w:rPr>
          <w:rFonts w:ascii="Arial" w:hAnsi="Arial" w:cs="Arial"/>
          <w:b/>
          <w:bCs/>
          <w:color w:val="000000"/>
          <w:sz w:val="12"/>
          <w:szCs w:val="12"/>
        </w:rPr>
      </w:pPr>
    </w:p>
    <w:p w:rsidR="00C50BF7" w:rsidRPr="003A19C4" w:rsidRDefault="00171B57"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bookmarkStart w:id="1" w:name="_GoBack"/>
      <w:bookmarkEnd w:id="1"/>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0C17CBE"/>
    <w:multiLevelType w:val="multilevel"/>
    <w:tmpl w:val="A7969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4"/>
    <w:lvlOverride w:ilvl="0">
      <w:startOverride w:val="2"/>
    </w:lvlOverride>
  </w:num>
  <w:num w:numId="3">
    <w:abstractNumId w:val="10"/>
    <w:lvlOverride w:ilvl="0">
      <w:startOverride w:val="3"/>
    </w:lvlOverride>
  </w:num>
  <w:num w:numId="4">
    <w:abstractNumId w:val="31"/>
    <w:lvlOverride w:ilvl="0">
      <w:startOverride w:val="4"/>
    </w:lvlOverride>
  </w:num>
  <w:num w:numId="5">
    <w:abstractNumId w:val="38"/>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20"/>
    <w:lvlOverride w:ilvl="0">
      <w:startOverride w:val="2"/>
    </w:lvlOverride>
  </w:num>
  <w:num w:numId="12">
    <w:abstractNumId w:val="41"/>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0"/>
    <w:lvlOverride w:ilvl="0">
      <w:startOverride w:val="6"/>
    </w:lvlOverride>
  </w:num>
  <w:num w:numId="16">
    <w:abstractNumId w:val="28"/>
    <w:lvlOverride w:ilvl="0">
      <w:startOverride w:val="7"/>
    </w:lvlOverride>
  </w:num>
  <w:num w:numId="17">
    <w:abstractNumId w:val="44"/>
    <w:lvlOverride w:ilvl="0">
      <w:startOverride w:val="8"/>
    </w:lvlOverride>
  </w:num>
  <w:num w:numId="18">
    <w:abstractNumId w:val="36"/>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6"/>
    <w:lvlOverride w:ilvl="0">
      <w:startOverride w:val="17"/>
    </w:lvlOverride>
  </w:num>
  <w:num w:numId="27">
    <w:abstractNumId w:val="35"/>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7"/>
    <w:lvlOverride w:ilvl="0">
      <w:startOverride w:val="21"/>
    </w:lvlOverride>
  </w:num>
  <w:num w:numId="31">
    <w:abstractNumId w:val="4"/>
    <w:lvlOverride w:ilvl="0">
      <w:startOverride w:val="22"/>
    </w:lvlOverride>
  </w:num>
  <w:num w:numId="32">
    <w:abstractNumId w:val="25"/>
    <w:lvlOverride w:ilvl="0">
      <w:startOverride w:val="23"/>
    </w:lvlOverride>
  </w:num>
  <w:num w:numId="33">
    <w:abstractNumId w:val="6"/>
  </w:num>
  <w:num w:numId="34">
    <w:abstractNumId w:val="16"/>
    <w:lvlOverride w:ilvl="0">
      <w:startOverride w:val="2"/>
    </w:lvlOverride>
  </w:num>
  <w:num w:numId="35">
    <w:abstractNumId w:val="32"/>
    <w:lvlOverride w:ilvl="0">
      <w:startOverride w:val="3"/>
    </w:lvlOverride>
  </w:num>
  <w:num w:numId="36">
    <w:abstractNumId w:val="33"/>
    <w:lvlOverride w:ilvl="0">
      <w:startOverride w:val="4"/>
    </w:lvlOverride>
  </w:num>
  <w:num w:numId="37">
    <w:abstractNumId w:val="14"/>
    <w:lvlOverride w:ilvl="0">
      <w:startOverride w:val="5"/>
    </w:lvlOverride>
  </w:num>
  <w:num w:numId="38">
    <w:abstractNumId w:val="24"/>
    <w:lvlOverride w:ilvl="0">
      <w:startOverride w:val="6"/>
    </w:lvlOverride>
  </w:num>
  <w:num w:numId="39">
    <w:abstractNumId w:val="18"/>
    <w:lvlOverride w:ilvl="0">
      <w:startOverride w:val="7"/>
    </w:lvlOverride>
  </w:num>
  <w:num w:numId="40">
    <w:abstractNumId w:val="23"/>
    <w:lvlOverride w:ilvl="0">
      <w:startOverride w:val="8"/>
    </w:lvlOverride>
  </w:num>
  <w:num w:numId="41">
    <w:abstractNumId w:val="39"/>
    <w:lvlOverride w:ilvl="0">
      <w:startOverride w:val="9"/>
    </w:lvlOverride>
  </w:num>
  <w:num w:numId="42">
    <w:abstractNumId w:val="19"/>
  </w:num>
  <w:num w:numId="43">
    <w:abstractNumId w:val="15"/>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90D5C"/>
    <w:rsid w:val="000936D6"/>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1B57"/>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1B16"/>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5DC8"/>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4D3"/>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07D1"/>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47000"/>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673EB"/>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5C1C"/>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4AF5"/>
    <w:rsid w:val="00C8738C"/>
    <w:rsid w:val="00C90ABF"/>
    <w:rsid w:val="00C94EB6"/>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37F"/>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25AB9"/>
    <w:rsid w:val="00D30439"/>
    <w:rsid w:val="00D31430"/>
    <w:rsid w:val="00D35822"/>
    <w:rsid w:val="00D362AE"/>
    <w:rsid w:val="00D37B22"/>
    <w:rsid w:val="00D41CB0"/>
    <w:rsid w:val="00D5545F"/>
    <w:rsid w:val="00D63A4B"/>
    <w:rsid w:val="00D678C8"/>
    <w:rsid w:val="00D7089B"/>
    <w:rsid w:val="00D74634"/>
    <w:rsid w:val="00D75B36"/>
    <w:rsid w:val="00D77206"/>
    <w:rsid w:val="00D80124"/>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9869098">
      <w:bodyDiv w:val="1"/>
      <w:marLeft w:val="0"/>
      <w:marRight w:val="0"/>
      <w:marTop w:val="0"/>
      <w:marBottom w:val="0"/>
      <w:divBdr>
        <w:top w:val="none" w:sz="0" w:space="0" w:color="auto"/>
        <w:left w:val="none" w:sz="0" w:space="0" w:color="auto"/>
        <w:bottom w:val="none" w:sz="0" w:space="0" w:color="auto"/>
        <w:right w:val="none" w:sz="0" w:space="0" w:color="auto"/>
      </w:divBdr>
    </w:div>
    <w:div w:id="34440680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7615427">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70153706">
      <w:bodyDiv w:val="1"/>
      <w:marLeft w:val="0"/>
      <w:marRight w:val="0"/>
      <w:marTop w:val="0"/>
      <w:marBottom w:val="0"/>
      <w:divBdr>
        <w:top w:val="none" w:sz="0" w:space="0" w:color="auto"/>
        <w:left w:val="none" w:sz="0" w:space="0" w:color="auto"/>
        <w:bottom w:val="none" w:sz="0" w:space="0" w:color="auto"/>
        <w:right w:val="none" w:sz="0" w:space="0" w:color="auto"/>
      </w:divBdr>
    </w:div>
    <w:div w:id="1071926297">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704143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5C120B-DFF0-4BFB-829E-247132DB9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3579</Words>
  <Characters>20284</Characters>
  <Application>Microsoft Office Word</Application>
  <DocSecurity>0</DocSecurity>
  <Lines>169</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2021-02-04T14:17:00Z</dcterms:created>
  <dcterms:modified xsi:type="dcterms:W3CDTF">2021-02-04T14:19:00Z</dcterms:modified>
</cp:coreProperties>
</file>