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6C" w:rsidRDefault="00FF5C6C" w:rsidP="00531DA4">
      <w:pPr>
        <w:pStyle w:val="Cabealho"/>
        <w:jc w:val="center"/>
      </w:pPr>
    </w:p>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50405F" w:rsidRDefault="00A41308" w:rsidP="00531DA4">
      <w:pPr>
        <w:pStyle w:val="Cabealho"/>
        <w:spacing w:before="100" w:after="100"/>
        <w:contextualSpacing/>
        <w:jc w:val="center"/>
      </w:pPr>
      <w:r w:rsidRPr="0050405F">
        <w:t>Porto V</w:t>
      </w:r>
      <w:r w:rsidR="00531DA4" w:rsidRPr="0050405F">
        <w:t xml:space="preserve">elho, Rondônia. </w:t>
      </w:r>
    </w:p>
    <w:bookmarkEnd w:id="0"/>
    <w:p w:rsidR="008656D1" w:rsidRPr="008656D1" w:rsidRDefault="008656D1" w:rsidP="008656D1">
      <w:pPr>
        <w:rPr>
          <w:rFonts w:ascii="Arial" w:hAnsi="Arial" w:cs="Arial"/>
          <w:b/>
          <w:bCs/>
          <w:color w:val="000000"/>
          <w:sz w:val="16"/>
          <w:szCs w:val="16"/>
        </w:rPr>
      </w:pPr>
      <w:r w:rsidRPr="008656D1">
        <w:rPr>
          <w:rFonts w:ascii="Arial" w:hAnsi="Arial" w:cs="Arial"/>
          <w:b/>
          <w:bCs/>
          <w:color w:val="000000"/>
          <w:sz w:val="16"/>
          <w:szCs w:val="16"/>
        </w:rPr>
        <w:t>ATA DE REGISTRO DE PREÇOS: N° 20/2021</w:t>
      </w:r>
    </w:p>
    <w:p w:rsidR="008656D1" w:rsidRPr="008656D1" w:rsidRDefault="008656D1" w:rsidP="008656D1">
      <w:pPr>
        <w:rPr>
          <w:rFonts w:ascii="Arial" w:hAnsi="Arial" w:cs="Arial"/>
          <w:b/>
          <w:bCs/>
          <w:color w:val="000000"/>
          <w:sz w:val="16"/>
          <w:szCs w:val="16"/>
        </w:rPr>
      </w:pPr>
      <w:r w:rsidRPr="008656D1">
        <w:rPr>
          <w:rFonts w:ascii="Arial" w:hAnsi="Arial" w:cs="Arial"/>
          <w:b/>
          <w:bCs/>
          <w:color w:val="000000"/>
          <w:sz w:val="16"/>
          <w:szCs w:val="16"/>
        </w:rPr>
        <w:t>PREGÃO ELETRÔNICO Nº 401/2020</w:t>
      </w:r>
    </w:p>
    <w:p w:rsidR="008656D1" w:rsidRPr="008656D1" w:rsidRDefault="008656D1" w:rsidP="008656D1">
      <w:pPr>
        <w:rPr>
          <w:rFonts w:ascii="Arial" w:hAnsi="Arial" w:cs="Arial"/>
          <w:b/>
          <w:bCs/>
          <w:color w:val="000000"/>
          <w:sz w:val="16"/>
          <w:szCs w:val="16"/>
        </w:rPr>
      </w:pPr>
      <w:r w:rsidRPr="008656D1">
        <w:rPr>
          <w:rFonts w:ascii="Arial" w:hAnsi="Arial" w:cs="Arial"/>
          <w:b/>
          <w:bCs/>
          <w:color w:val="000000"/>
          <w:sz w:val="16"/>
          <w:szCs w:val="16"/>
        </w:rPr>
        <w:t>PROCESSO Nº0038.128316/2020-90</w:t>
      </w:r>
    </w:p>
    <w:p w:rsidR="008656D1" w:rsidRPr="008656D1" w:rsidRDefault="008656D1" w:rsidP="008656D1">
      <w:pPr>
        <w:rPr>
          <w:rFonts w:ascii="Arial" w:hAnsi="Arial" w:cs="Arial"/>
          <w:bCs/>
          <w:color w:val="000000"/>
          <w:sz w:val="16"/>
          <w:szCs w:val="16"/>
        </w:rPr>
      </w:pPr>
    </w:p>
    <w:p w:rsid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w:t>
      </w:r>
      <w:r w:rsidRPr="008656D1">
        <w:rPr>
          <w:rFonts w:ascii="Arial" w:hAnsi="Arial" w:cs="Arial"/>
          <w:b/>
          <w:bCs/>
          <w:color w:val="000000"/>
          <w:sz w:val="16"/>
          <w:szCs w:val="16"/>
        </w:rPr>
        <w:t>Israel Eva</w:t>
      </w:r>
      <w:r w:rsidRPr="004074C2">
        <w:rPr>
          <w:rFonts w:ascii="Arial" w:hAnsi="Arial" w:cs="Arial"/>
          <w:b/>
          <w:bCs/>
          <w:color w:val="000000"/>
          <w:sz w:val="16"/>
          <w:szCs w:val="16"/>
        </w:rPr>
        <w:t>n</w:t>
      </w:r>
      <w:r w:rsidRPr="008656D1">
        <w:rPr>
          <w:rFonts w:ascii="Arial" w:hAnsi="Arial" w:cs="Arial"/>
          <w:b/>
          <w:bCs/>
          <w:color w:val="000000"/>
          <w:sz w:val="16"/>
          <w:szCs w:val="16"/>
        </w:rPr>
        <w:t>gelista da Silva</w:t>
      </w:r>
      <w:r w:rsidRPr="008656D1">
        <w:rPr>
          <w:rFonts w:ascii="Arial" w:hAnsi="Arial" w:cs="Arial"/>
          <w:bCs/>
          <w:color w:val="000000"/>
          <w:sz w:val="16"/>
          <w:szCs w:val="16"/>
        </w:rPr>
        <w:t xml:space="preserve"> e a(s) empresa(s) qualificada(s) no Anexo Único desta Ata, resolvem REGISTRAR O PREÇO para futura e Eventuais e Futuras aquisição de gêneros alimentícios (café regional - plantado, colhido e processado no Estado de Rondônia - café embalado a vácuo, açúcar e água mineral) e copos descartáveis</w:t>
      </w:r>
      <w:bookmarkStart w:id="1" w:name="_GoBack"/>
      <w:bookmarkEnd w:id="1"/>
      <w:r w:rsidRPr="008656D1">
        <w:rPr>
          <w:rFonts w:ascii="Arial" w:hAnsi="Arial" w:cs="Arial"/>
          <w:bCs/>
          <w:color w:val="000000"/>
          <w:sz w:val="16"/>
          <w:szCs w:val="16"/>
        </w:rPr>
        <w:t xml:space="preserve"> para atender as necessidades SUPERINTENDÊNCIA ESTADUAL DO TURISMO - SETUR,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656D1" w:rsidRP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 DO OBJETO </w:t>
      </w:r>
    </w:p>
    <w:p w:rsid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REGISTRO DE PREÇO para futura e Eventuais aquisição de gêneros alimentícios (café regional - plantado, colhido e processado no Estado de Rondônia - café embalado a vácuo, açúcar e água mineral) e copos descartáveis para atender as necessidades SUPERINTENDÊNCIA ESTADUAL DO TURISMO - SETUR.</w:t>
      </w:r>
    </w:p>
    <w:p w:rsidR="008656D1" w:rsidRP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2. DA VIGÊNCIA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2.1. O presente Registro de Preços terá validade de 12 (doze) meses, contados a partir de sua publicação no Diário Oficial do Estado.</w:t>
      </w:r>
    </w:p>
    <w:p w:rsid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8656D1" w:rsidRP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3. DA GERÊNCIA DA PRESENTE ATA DE REGISTRO DE PREÇOS</w:t>
      </w:r>
    </w:p>
    <w:p w:rsid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8656D1" w:rsidRP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4. DA ESPECIFICAÇÃO, QUANTIDADE E PREÇO </w:t>
      </w:r>
    </w:p>
    <w:p w:rsid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4.1. O preço, a quantidade, o fornecedor e a especificação do item registrado nesta Ata, encontram-se indicados no Anexo I deste instrumento.</w:t>
      </w:r>
    </w:p>
    <w:p w:rsidR="008656D1" w:rsidRP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5. PRAZOS E CONDIÇÕES DE FORNECIMENTO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A DETENTORA do registro de preços se obriga, nos termos do Edital e deste instrumento, 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5.1. Retirar a Nota de Empenho junto ao órgão solicitante no prazo de até 05 (cinco) dias, contados da convocação;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5.2. Iniciar o fornecimento do objeto dessa Ata, conforme prazo estabelecido no Termo de Referência e edital de licitações.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8656D1" w:rsidRP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6. DO PRAZO E LOCAL DE ENTREGA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6.3. DO PRAZO DE ENTREGA: com acuse de recebimento, como nas formas habituais, num prazo máximo de 10 (dez) dias a contar do recebimento da nota de empenho.</w:t>
      </w:r>
    </w:p>
    <w:p w:rsid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6.4. DO LOCAL DE ENTREGA: Os materiais deverão ser entregues no Almoxarifado Central do Governo de Rondônia, situado a Rua Antônio Lacerda, nº 4138, bairro Industrial, Porto Velho – RO, com Horário de Funcionamento das 07h30min ás 13h30min de segunda a sexta-feira, </w:t>
      </w:r>
    </w:p>
    <w:p w:rsidR="008656D1" w:rsidRP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7.  DAS CONDIÇÕES DE PAGAMENTO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7.1. A empresa detentora da Ata apresentará a Gerência Financeira do Órgão requisitante a nota fiscal referente ao fornecimento efetuado.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7.2. O respectivo Órgão terá o prazo de 10 (dez) dias úteis, a contar da apresentação da nota fiscal para aceitá-la ou rejeitá-la.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8656D1">
        <w:rPr>
          <w:rFonts w:ascii="Arial" w:hAnsi="Arial" w:cs="Arial"/>
          <w:bCs/>
          <w:color w:val="000000"/>
          <w:sz w:val="16"/>
          <w:szCs w:val="16"/>
        </w:rPr>
        <w:t>a</w:t>
      </w:r>
      <w:proofErr w:type="gramEnd"/>
      <w:r w:rsidRPr="008656D1">
        <w:rPr>
          <w:rFonts w:ascii="Arial" w:hAnsi="Arial" w:cs="Arial"/>
          <w:bCs/>
          <w:color w:val="000000"/>
          <w:sz w:val="16"/>
          <w:szCs w:val="16"/>
        </w:rPr>
        <w:t xml:space="preserve"> partir da data de sua reapresentação.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7.4. A devolução da nota fiscal não aprovada, em hipótese alguma, servirá de pretexto para que a empresa detentora da Ata suspenda quaisquer fornecimentos.</w:t>
      </w:r>
    </w:p>
    <w:p w:rsid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8656D1" w:rsidRP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8.  DA DOTAÇÃO ORÇAMENTÁRIA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 DAS SANÇÕES </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9.1 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92 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xml:space="preserve">9.3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w:t>
      </w:r>
      <w:r w:rsidRPr="008656D1">
        <w:rPr>
          <w:rFonts w:ascii="Arial" w:hAnsi="Arial" w:cs="Arial"/>
          <w:bCs/>
          <w:color w:val="000000"/>
          <w:sz w:val="16"/>
          <w:szCs w:val="16"/>
        </w:rPr>
        <w:lastRenderedPageBreak/>
        <w:t>previstas no Edital e das demais cominações legais, devendo ser incluída a penalidade no SICAFI e no CAGEFIMP (Cadastro Estadual de Fornecedores Impedidos de Licitar).</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9.5 As multas previstas nesta seção não eximem a CONTRATADA da reparação dos eventuais danos, perdas ou prejuízos que seu ato punível venha causar à Administração.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9.6 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xml:space="preserve">9.8 São exemplos de infração administrativa penalizáveis, nos termos </w:t>
      </w:r>
      <w:proofErr w:type="gramStart"/>
      <w:r w:rsidRPr="008656D1">
        <w:rPr>
          <w:rFonts w:ascii="Arial" w:hAnsi="Arial" w:cs="Arial"/>
          <w:bCs/>
          <w:color w:val="000000"/>
          <w:sz w:val="16"/>
          <w:szCs w:val="16"/>
        </w:rPr>
        <w:t>da  Lei</w:t>
      </w:r>
      <w:proofErr w:type="gramEnd"/>
      <w:r w:rsidRPr="008656D1">
        <w:rPr>
          <w:rFonts w:ascii="Arial" w:hAnsi="Arial" w:cs="Arial"/>
          <w:bCs/>
          <w:color w:val="000000"/>
          <w:sz w:val="16"/>
          <w:szCs w:val="16"/>
        </w:rPr>
        <w:t xml:space="preserve"> nº 8.666, de 1993, da Lei nº 10.520, de 2002, do Decreto nº 3.555, de 2000, e do Decreto n° 10.024/2019:</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9.8.1 Inexecução total ou parcial do contrato;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9.8.2 Apresentação de documentação falsa;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9.8.3 Comportamento inidôneo;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9.8.4 Fraude fiscal;</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9.8.5 Descumprimento de qualquer dos deveres elencados no Edital ou no Contrato.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à administração ou à terceiros.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xml:space="preserve">9.10 Para efeito de aplicação de multas, às infrações são atribuídos graus, com percentuais de </w:t>
      </w:r>
      <w:proofErr w:type="gramStart"/>
      <w:r w:rsidRPr="008656D1">
        <w:rPr>
          <w:rFonts w:ascii="Arial" w:hAnsi="Arial" w:cs="Arial"/>
          <w:bCs/>
          <w:color w:val="000000"/>
          <w:sz w:val="16"/>
          <w:szCs w:val="16"/>
        </w:rPr>
        <w:t>multa  conforme</w:t>
      </w:r>
      <w:proofErr w:type="gramEnd"/>
      <w:r w:rsidRPr="008656D1">
        <w:rPr>
          <w:rFonts w:ascii="Arial" w:hAnsi="Arial" w:cs="Arial"/>
          <w:bCs/>
          <w:color w:val="000000"/>
          <w:sz w:val="16"/>
          <w:szCs w:val="16"/>
        </w:rPr>
        <w:t xml:space="preserv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
        <w:gridCol w:w="9377"/>
        <w:gridCol w:w="386"/>
        <w:gridCol w:w="822"/>
      </w:tblGrid>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Multa*</w:t>
            </w:r>
          </w:p>
        </w:tc>
      </w:tr>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xml:space="preserve">Permitir situação que crie a possibilidade ou cause </w:t>
            </w:r>
            <w:proofErr w:type="spellStart"/>
            <w:r w:rsidRPr="008656D1">
              <w:rPr>
                <w:rFonts w:ascii="Arial" w:hAnsi="Arial" w:cs="Arial"/>
                <w:bCs/>
                <w:color w:val="000000"/>
                <w:sz w:val="16"/>
                <w:szCs w:val="16"/>
              </w:rPr>
              <w:t>dano</w:t>
            </w:r>
            <w:proofErr w:type="spellEnd"/>
            <w:r w:rsidRPr="008656D1">
              <w:rPr>
                <w:rFonts w:ascii="Arial" w:hAnsi="Arial" w:cs="Arial"/>
                <w:bCs/>
                <w:color w:val="000000"/>
                <w:sz w:val="16"/>
                <w:szCs w:val="16"/>
              </w:rPr>
              <w:t xml:space="preserve"> físico, lesão corporal ou </w:t>
            </w:r>
            <w:proofErr w:type="spellStart"/>
            <w:r w:rsidRPr="008656D1">
              <w:rPr>
                <w:rFonts w:ascii="Arial" w:hAnsi="Arial" w:cs="Arial"/>
                <w:bCs/>
                <w:color w:val="000000"/>
                <w:sz w:val="16"/>
                <w:szCs w:val="16"/>
              </w:rPr>
              <w:t>conseqüências</w:t>
            </w:r>
            <w:proofErr w:type="spellEnd"/>
            <w:r w:rsidRPr="008656D1">
              <w:rPr>
                <w:rFonts w:ascii="Arial" w:hAnsi="Arial" w:cs="Arial"/>
                <w:bCs/>
                <w:color w:val="000000"/>
                <w:sz w:val="16"/>
                <w:szCs w:val="16"/>
              </w:rPr>
              <w:t xml:space="preserve">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4,0 % por dia</w:t>
            </w:r>
          </w:p>
        </w:tc>
      </w:tr>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4,0 % por dia</w:t>
            </w:r>
          </w:p>
        </w:tc>
      </w:tr>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3,2 % por dia</w:t>
            </w:r>
          </w:p>
        </w:tc>
      </w:tr>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3,2 % por dia</w:t>
            </w:r>
          </w:p>
        </w:tc>
      </w:tr>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1,6 % por dia</w:t>
            </w:r>
          </w:p>
        </w:tc>
      </w:tr>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0,4 % por dia</w:t>
            </w:r>
          </w:p>
        </w:tc>
      </w:tr>
      <w:tr w:rsidR="008656D1" w:rsidRPr="008656D1" w:rsidTr="008656D1">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proofErr w:type="gramStart"/>
            <w:r w:rsidRPr="008656D1">
              <w:rPr>
                <w:rFonts w:ascii="Arial" w:hAnsi="Arial" w:cs="Arial"/>
                <w:bCs/>
                <w:color w:val="000000"/>
                <w:sz w:val="16"/>
                <w:szCs w:val="16"/>
              </w:rPr>
              <w:t>Para  os</w:t>
            </w:r>
            <w:proofErr w:type="gramEnd"/>
            <w:r w:rsidRPr="008656D1">
              <w:rPr>
                <w:rFonts w:ascii="Arial" w:hAnsi="Arial" w:cs="Arial"/>
                <w:bCs/>
                <w:color w:val="000000"/>
                <w:sz w:val="16"/>
                <w:szCs w:val="16"/>
              </w:rPr>
              <w:t xml:space="preserve"> itens a seguir, DEIXAR DE:</w:t>
            </w:r>
          </w:p>
        </w:tc>
      </w:tr>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0,8 % por dia</w:t>
            </w:r>
          </w:p>
        </w:tc>
      </w:tr>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0,8 % por dia</w:t>
            </w:r>
          </w:p>
        </w:tc>
      </w:tr>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0,4 % por dia</w:t>
            </w:r>
          </w:p>
        </w:tc>
      </w:tr>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0,4 % por dia</w:t>
            </w:r>
          </w:p>
        </w:tc>
      </w:tr>
      <w:tr w:rsidR="008656D1" w:rsidRPr="008656D1" w:rsidTr="008656D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0,2 % por dia</w:t>
            </w:r>
          </w:p>
        </w:tc>
      </w:tr>
    </w:tbl>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As multas incidirão sobre a parcela inadimplida do contrato.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9.11 As sanções aqui previstas poderão ser aplicadas concomitantemente, facultada a defesa prévia do interessado, no respectivo processo, no prazo de 05 (cinco) dias úteis;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9.12 Após 30 (trinta) dias da falta de execução do objeto, será considerada inexecução total do contrato, o que ensejará a rescisão contratual;</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9.13 As sanções de natureza pecuniária serão diretamente descontadas de créditos que eventualmente detenha a CONTRATADA ou efetuada a sua cobrança na forma prevista em lei;</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9.15 A autoridade competente, na aplicação das sanções; levará em consideração a gravidade da conduta do infrator, o caráter educativo da pena, bem como o dano causado à Administração, observando o princípio da proporcionalidade;</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9.16 A sanção será obrigatoriamente registrada no Sistema de Cadastramento Unificado de Fornecedores – SICAF, bem como em sistemas Estaduais.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xml:space="preserve">9.17 Também ficam sujeitas às penalidades de suspensão de licitar e impedimento de contratar com órgão </w:t>
      </w:r>
      <w:proofErr w:type="gramStart"/>
      <w:r w:rsidRPr="008656D1">
        <w:rPr>
          <w:rFonts w:ascii="Arial" w:hAnsi="Arial" w:cs="Arial"/>
          <w:bCs/>
          <w:color w:val="000000"/>
          <w:sz w:val="16"/>
          <w:szCs w:val="16"/>
        </w:rPr>
        <w:t>contratante  e</w:t>
      </w:r>
      <w:proofErr w:type="gramEnd"/>
      <w:r w:rsidRPr="008656D1">
        <w:rPr>
          <w:rFonts w:ascii="Arial" w:hAnsi="Arial" w:cs="Arial"/>
          <w:bCs/>
          <w:color w:val="000000"/>
          <w:sz w:val="16"/>
          <w:szCs w:val="16"/>
        </w:rPr>
        <w:t xml:space="preserve"> de declaração de inidoneidade, previstas nos subitens anteriores, as empresas ou profissionais que, em razão do contrato decorrente dessa licitação: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a) Tenham sofrido condenações definitivas por praticarem, por meio dolosos, fraude fiscal no recolhimento de tributos;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b) Tenham praticado atos ilícitos visando a frustrar os objetivos da licitação;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c) Demonstrem não possuir idoneidade para contratar com a Administração em virtude de atos ilícitos praticados.</w:t>
      </w:r>
    </w:p>
    <w:p w:rsid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10. DA UTILIZAÇÃO DA ATA </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10.2. É facultada aos órgãos s ou entidades municipais, distritais ou estaduais a adesão a ata de registro de preços da Administração Pública Estadual.</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8656D1">
        <w:rPr>
          <w:rFonts w:ascii="Arial" w:hAnsi="Arial" w:cs="Arial"/>
          <w:bCs/>
          <w:color w:val="000000"/>
          <w:sz w:val="16"/>
          <w:szCs w:val="16"/>
        </w:rPr>
        <w:t>independente</w:t>
      </w:r>
      <w:proofErr w:type="spellEnd"/>
      <w:r w:rsidRPr="008656D1">
        <w:rPr>
          <w:rFonts w:ascii="Arial" w:hAnsi="Arial" w:cs="Arial"/>
          <w:bCs/>
          <w:color w:val="000000"/>
          <w:sz w:val="16"/>
          <w:szCs w:val="16"/>
        </w:rPr>
        <w:t xml:space="preserve"> do número de órgãos não participantes que aderirem. </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10.6. Caberá ao órgão que se utilizar da ata, verificar a vantagem econômica da adesão a este Registro de Preço.</w:t>
      </w:r>
    </w:p>
    <w:p w:rsid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11. DA ALTERAÇÃO DA ATA DE REGISTRO DE PREÇOS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lastRenderedPageBreak/>
        <w:t>11.2. Quando o preço registrado tornar-se superior ao preço praticado no mercado por motivo superveniente, o órgão gerenciador convocará os fornecedores para negociarem a redução dos preços aos valores praticados pelo mercado.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11.4. A ordem de classificação dos fornecedores que aceitarem reduzir seus preços aos valores de mercado observará a classificação original.</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xml:space="preserve">11.5. Quando o preço de mercado tornar-se superior aos preços registrados, e o fornecedor não puder cumprir o </w:t>
      </w:r>
      <w:proofErr w:type="gramStart"/>
      <w:r w:rsidRPr="008656D1">
        <w:rPr>
          <w:rFonts w:ascii="Arial" w:hAnsi="Arial" w:cs="Arial"/>
          <w:bCs/>
          <w:color w:val="000000"/>
          <w:sz w:val="16"/>
          <w:szCs w:val="16"/>
        </w:rPr>
        <w:t>compromisso ,</w:t>
      </w:r>
      <w:proofErr w:type="gramEnd"/>
      <w:r w:rsidRPr="008656D1">
        <w:rPr>
          <w:rFonts w:ascii="Arial" w:hAnsi="Arial" w:cs="Arial"/>
          <w:bCs/>
          <w:color w:val="000000"/>
          <w:sz w:val="16"/>
          <w:szCs w:val="16"/>
        </w:rPr>
        <w:t xml:space="preserve"> o órgão gerenciador poderá:</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11.5.2. Convocar os demais fornecedores para assegurar igual oportunidade de negociação;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12. DAS OBRIGAÇÕES DA DETENTORA DO REGISTRO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12.2. Dispor-se a toda e qualquer fiscalização, no tocante ao fornecimento do produto, assim como ao cumprimento das obrigações previstas na ATA;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12.6. Respeitar e fazer cumprir a legislação de segurança e saúde no trabalho, previstas nas normas regulamentadoras pertinentes;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12.10. Todos os impostos e taxas que forem devidos em decorrência das contratações do objeto do Edital correrão por conta exclusiva da contratada; </w:t>
      </w:r>
    </w:p>
    <w:p w:rsid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13. DAS OBRIGAÇÕES DOS ÓRGÃOS REQUISITANTES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13.1. Proporcionar todas as facilidades indispensáveis à boa execução das obrigações contratuais; </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13.2. Rejeitar, no todo ou em parte, os objetos desta Ata entregues em desacordo com as obrigações assumidas pelo fornecedor;</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13.3. Notificar a CONTRATADA de qualquer irregularidade encontrada no fornecimento dos objetos desta Ata;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13.4. Efetuar o pagamento à(s) contratada(s) de acordo com as condições de preços e prazos estabelecidos no edital e ata de registro de preços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xml:space="preserve">13.6. Não haverá </w:t>
      </w:r>
      <w:proofErr w:type="spellStart"/>
      <w:r w:rsidRPr="008656D1">
        <w:rPr>
          <w:rFonts w:ascii="Arial" w:hAnsi="Arial" w:cs="Arial"/>
          <w:bCs/>
          <w:color w:val="000000"/>
          <w:sz w:val="16"/>
          <w:szCs w:val="16"/>
        </w:rPr>
        <w:t>sob-hipótese</w:t>
      </w:r>
      <w:proofErr w:type="spellEnd"/>
      <w:r w:rsidRPr="008656D1">
        <w:rPr>
          <w:rFonts w:ascii="Arial" w:hAnsi="Arial" w:cs="Arial"/>
          <w:bCs/>
          <w:color w:val="000000"/>
          <w:sz w:val="16"/>
          <w:szCs w:val="16"/>
        </w:rPr>
        <w:t xml:space="preserve"> alguma, pagamento antecipado.</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14. DOS ÓRGÃOS PARTICIPANTES:</w:t>
      </w:r>
    </w:p>
    <w:p w:rsid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14.1. É participante desta ata o seguinte órgão pertencente à Administração Pública do Estado de Rondônia:</w:t>
      </w:r>
    </w:p>
    <w:p w:rsidR="008656D1" w:rsidRPr="008656D1" w:rsidRDefault="008656D1" w:rsidP="008656D1">
      <w:pPr>
        <w:jc w:val="both"/>
        <w:rPr>
          <w:rFonts w:ascii="Arial" w:hAnsi="Arial" w:cs="Arial"/>
          <w:bCs/>
          <w:color w:val="000000"/>
          <w:sz w:val="16"/>
          <w:szCs w:val="16"/>
        </w:rPr>
      </w:pPr>
      <w:r>
        <w:rPr>
          <w:rFonts w:ascii="Arial" w:hAnsi="Arial" w:cs="Arial"/>
          <w:bCs/>
          <w:color w:val="000000"/>
          <w:sz w:val="16"/>
          <w:szCs w:val="16"/>
        </w:rPr>
        <w:t>SETUR </w:t>
      </w:r>
      <w:r w:rsidRPr="008656D1">
        <w:rPr>
          <w:rFonts w:ascii="Arial" w:hAnsi="Arial" w:cs="Arial"/>
          <w:bCs/>
          <w:color w:val="000000"/>
          <w:sz w:val="16"/>
          <w:szCs w:val="16"/>
        </w:rPr>
        <w:t>- SUPERINTENDÊNCIA ESTADUAL DO TURISMO</w:t>
      </w:r>
    </w:p>
    <w:p w:rsidR="008656D1" w:rsidRDefault="008656D1" w:rsidP="008656D1">
      <w:pPr>
        <w:jc w:val="both"/>
        <w:rPr>
          <w:rFonts w:ascii="Arial" w:hAnsi="Arial" w:cs="Arial"/>
          <w:bCs/>
          <w:color w:val="000000"/>
          <w:sz w:val="16"/>
          <w:szCs w:val="16"/>
        </w:rPr>
      </w:pP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15.  DISPOSIÇÕES GERAIS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 </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w:t>
      </w:r>
    </w:p>
    <w:p w:rsidR="008656D1" w:rsidRPr="008656D1" w:rsidRDefault="008656D1" w:rsidP="008656D1">
      <w:pPr>
        <w:jc w:val="both"/>
        <w:rPr>
          <w:rFonts w:ascii="Arial" w:hAnsi="Arial" w:cs="Arial"/>
          <w:bCs/>
          <w:color w:val="000000"/>
          <w:sz w:val="16"/>
          <w:szCs w:val="16"/>
        </w:rPr>
      </w:pPr>
      <w:r w:rsidRPr="008656D1">
        <w:rPr>
          <w:rFonts w:ascii="Arial" w:hAnsi="Arial" w:cs="Arial"/>
          <w:bCs/>
          <w:color w:val="000000"/>
          <w:sz w:val="16"/>
          <w:szCs w:val="16"/>
        </w:rPr>
        <w:t> Fica eleito o foro do Município de Porto Velho/RO para dirimir as eventuais controvérsias decorrentes do presente ajuste.</w:t>
      </w:r>
    </w:p>
    <w:p w:rsidR="007300F7" w:rsidRPr="007300F7" w:rsidRDefault="007300F7" w:rsidP="008656D1">
      <w:pPr>
        <w:jc w:val="both"/>
        <w:rPr>
          <w:rFonts w:ascii="Arial" w:hAnsi="Arial" w:cs="Arial"/>
          <w:bCs/>
          <w:color w:val="000000"/>
          <w:sz w:val="16"/>
          <w:szCs w:val="16"/>
        </w:rPr>
      </w:pPr>
    </w:p>
    <w:p w:rsidR="009D2314" w:rsidRPr="009263FF" w:rsidRDefault="009D2314" w:rsidP="007300F7">
      <w:pPr>
        <w:jc w:val="both"/>
        <w:rPr>
          <w:rFonts w:ascii="Arial" w:hAnsi="Arial" w:cs="Arial"/>
          <w:bCs/>
          <w:color w:val="000000"/>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8656D1" w:rsidP="00526790">
      <w:pPr>
        <w:ind w:right="47"/>
        <w:jc w:val="both"/>
        <w:rPr>
          <w:rFonts w:ascii="Arial" w:hAnsi="Arial" w:cs="Arial"/>
          <w:b/>
          <w:bCs/>
          <w:color w:val="000000"/>
          <w:sz w:val="12"/>
          <w:szCs w:val="12"/>
        </w:rPr>
      </w:pPr>
      <w:r>
        <w:rPr>
          <w:rFonts w:ascii="Arial" w:hAnsi="Arial" w:cs="Arial"/>
          <w:b/>
          <w:bCs/>
          <w:color w:val="000000"/>
          <w:sz w:val="12"/>
          <w:szCs w:val="12"/>
        </w:rPr>
        <w:t>FCB</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9"/>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1"/>
  </w:num>
  <w:num w:numId="11">
    <w:abstractNumId w:val="19"/>
    <w:lvlOverride w:ilvl="0">
      <w:startOverride w:val="2"/>
    </w:lvlOverride>
  </w:num>
  <w:num w:numId="12">
    <w:abstractNumId w:val="40"/>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3"/>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2"/>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1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C4FA5-97BB-4F90-B03A-8BA9D221A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3068</Words>
  <Characters>17157</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5</cp:revision>
  <cp:lastPrinted>2019-12-30T17:05:00Z</cp:lastPrinted>
  <dcterms:created xsi:type="dcterms:W3CDTF">2021-02-02T18:04:00Z</dcterms:created>
  <dcterms:modified xsi:type="dcterms:W3CDTF">2021-02-02T18:10:00Z</dcterms:modified>
</cp:coreProperties>
</file>