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50405F" w:rsidRDefault="00A41308" w:rsidP="00531DA4">
      <w:pPr>
        <w:pStyle w:val="Cabealho"/>
        <w:spacing w:before="100" w:after="100"/>
        <w:contextualSpacing/>
        <w:jc w:val="center"/>
      </w:pPr>
      <w:r w:rsidRPr="0050405F">
        <w:t>Porto V</w:t>
      </w:r>
      <w:r w:rsidR="00531DA4" w:rsidRPr="0050405F">
        <w:t xml:space="preserve">elho, Rondônia. </w:t>
      </w:r>
    </w:p>
    <w:bookmarkEnd w:id="0"/>
    <w:p w:rsidR="00500A56" w:rsidRPr="00500A56" w:rsidRDefault="00500A56" w:rsidP="00500A56">
      <w:pPr>
        <w:rPr>
          <w:rFonts w:ascii="Arial" w:hAnsi="Arial" w:cs="Arial"/>
          <w:b/>
          <w:bCs/>
          <w:color w:val="000000"/>
          <w:sz w:val="16"/>
          <w:szCs w:val="16"/>
        </w:rPr>
      </w:pPr>
      <w:r w:rsidRPr="00500A56">
        <w:rPr>
          <w:rFonts w:ascii="Arial" w:hAnsi="Arial" w:cs="Arial"/>
          <w:b/>
          <w:bCs/>
          <w:color w:val="000000"/>
          <w:sz w:val="16"/>
          <w:szCs w:val="16"/>
        </w:rPr>
        <w:t>ATA D</w:t>
      </w:r>
      <w:r w:rsidR="0050405F" w:rsidRPr="0050405F">
        <w:rPr>
          <w:rFonts w:ascii="Arial" w:hAnsi="Arial" w:cs="Arial"/>
          <w:b/>
          <w:bCs/>
          <w:color w:val="000000"/>
          <w:sz w:val="16"/>
          <w:szCs w:val="16"/>
        </w:rPr>
        <w:t>E REGISTRO DE PREÇOS: N° 15/2021</w:t>
      </w:r>
    </w:p>
    <w:p w:rsidR="00500A56" w:rsidRPr="00500A56" w:rsidRDefault="00500A56" w:rsidP="00500A56">
      <w:pPr>
        <w:rPr>
          <w:rFonts w:ascii="Arial" w:hAnsi="Arial" w:cs="Arial"/>
          <w:b/>
          <w:bCs/>
          <w:color w:val="000000"/>
          <w:sz w:val="16"/>
          <w:szCs w:val="16"/>
        </w:rPr>
      </w:pPr>
      <w:r w:rsidRPr="00500A56">
        <w:rPr>
          <w:rFonts w:ascii="Arial" w:hAnsi="Arial" w:cs="Arial"/>
          <w:b/>
          <w:bCs/>
          <w:color w:val="000000"/>
          <w:sz w:val="16"/>
          <w:szCs w:val="16"/>
        </w:rPr>
        <w:t>PREGÃO ELETRÔNICO Nº 663/2020</w:t>
      </w:r>
    </w:p>
    <w:p w:rsidR="00500A56" w:rsidRPr="00500A56" w:rsidRDefault="00500A56" w:rsidP="00500A56">
      <w:pPr>
        <w:rPr>
          <w:rFonts w:ascii="Arial" w:hAnsi="Arial" w:cs="Arial"/>
          <w:b/>
          <w:bCs/>
          <w:color w:val="000000"/>
          <w:sz w:val="16"/>
          <w:szCs w:val="16"/>
        </w:rPr>
      </w:pPr>
      <w:r w:rsidRPr="00500A56">
        <w:rPr>
          <w:rFonts w:ascii="Arial" w:hAnsi="Arial" w:cs="Arial"/>
          <w:b/>
          <w:bCs/>
          <w:color w:val="000000"/>
          <w:sz w:val="16"/>
          <w:szCs w:val="16"/>
        </w:rPr>
        <w:t>PROCESSO Nº0009.349347/2020-20</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 </w:t>
      </w:r>
    </w:p>
    <w:p w:rsidR="00500A56" w:rsidRPr="00500A56" w:rsidRDefault="00500A56" w:rsidP="0050405F">
      <w:pPr>
        <w:jc w:val="both"/>
        <w:rPr>
          <w:rFonts w:ascii="Arial" w:hAnsi="Arial" w:cs="Arial"/>
          <w:bCs/>
          <w:color w:val="000000"/>
          <w:sz w:val="16"/>
          <w:szCs w:val="16"/>
        </w:rPr>
      </w:pPr>
      <w:r w:rsidRPr="00500A56">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500A56">
        <w:rPr>
          <w:rFonts w:ascii="Arial" w:hAnsi="Arial" w:cs="Arial"/>
          <w:b/>
          <w:bCs/>
          <w:color w:val="000000"/>
          <w:sz w:val="16"/>
          <w:szCs w:val="16"/>
        </w:rPr>
        <w:t>Israel Eva</w:t>
      </w:r>
      <w:r w:rsidR="0050405F" w:rsidRPr="0050405F">
        <w:rPr>
          <w:rFonts w:ascii="Arial" w:hAnsi="Arial" w:cs="Arial"/>
          <w:b/>
          <w:bCs/>
          <w:color w:val="000000"/>
          <w:sz w:val="16"/>
          <w:szCs w:val="16"/>
        </w:rPr>
        <w:t>n</w:t>
      </w:r>
      <w:r w:rsidRPr="00500A56">
        <w:rPr>
          <w:rFonts w:ascii="Arial" w:hAnsi="Arial" w:cs="Arial"/>
          <w:b/>
          <w:bCs/>
          <w:color w:val="000000"/>
          <w:sz w:val="16"/>
          <w:szCs w:val="16"/>
        </w:rPr>
        <w:t>g</w:t>
      </w:r>
      <w:bookmarkStart w:id="1" w:name="_GoBack"/>
      <w:bookmarkEnd w:id="1"/>
      <w:r w:rsidRPr="00500A56">
        <w:rPr>
          <w:rFonts w:ascii="Arial" w:hAnsi="Arial" w:cs="Arial"/>
          <w:b/>
          <w:bCs/>
          <w:color w:val="000000"/>
          <w:sz w:val="16"/>
          <w:szCs w:val="16"/>
        </w:rPr>
        <w:t>elista da Silva</w:t>
      </w:r>
      <w:r w:rsidRPr="00500A56">
        <w:rPr>
          <w:rFonts w:ascii="Arial" w:hAnsi="Arial" w:cs="Arial"/>
          <w:bCs/>
          <w:color w:val="000000"/>
          <w:sz w:val="16"/>
          <w:szCs w:val="16"/>
        </w:rPr>
        <w:t xml:space="preserve"> e a(s) empresa(s) qualificada(s) no Anexo Único desta Ata, resolvem REGISTRAR O PREÇO para futura e Eventuais e Futuras aquisições de Gêneros Alimentícios Perecíveis para atender as necessidades deste FITHA/DER-RO,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500A56" w:rsidRDefault="00500A56" w:rsidP="0050405F">
      <w:pPr>
        <w:jc w:val="both"/>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 DO OBJETO </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REGISTRO DE PREÇO para futura e Eventuais aquisições de Gêneros Alimentícios Perecíveis para atender as necessidades deste FITHA/DER-RO.</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2. DA VIGÊNCIA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2.1. O presente Registro de Preços terá validade de 12 (doze) meses, contados a partir de sua publicação no Diário Oficial do Estado.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3. DA GERÊNCIA DA PRESENTE ATA DE REGISTRO DE PREÇOS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4. DA ESPECIFICAÇÃO, QUANTIDADE E PREÇO </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4.1. O preço, a quantidade, o fornecedor e a especificação do item registrado nesta Ata, encontram-se indicados no Anexo I deste instrumento.</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5. PRAZOS E CONDIÇÕES DE FORNECIMENTO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A DETENTORA do registro de preços se obriga, nos termos do Edital e deste instrumento, 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5.1. Retirar a Nota de Empenho junto ao órgão solicitante no prazo de até 05 (cinco) dias, contados da convocação;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5.2. Iniciar o fornecimento do objeto dessa Ata, conforme prazo estabelecido no Termo de Referência e edital de licitações.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6. DO PRAZO E LOCAL DE ENTREGA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6.3. DO PRAZO DE ENTREGA: O prazo para a entrega dos alimentos solicitados será de 05 (cinco) dias, contados a partir da data do recebimento da Ordem de Fornecimento pela Contratada.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 xml:space="preserve">6.4. DO LOCAL DE ENTREGA: O objeto desta aquisição relacionados no item 02 deste instrumento deverão ser entregue nas Residências Regionais de JI-PARANÁ – Endereço: BR-364 KM 08 saída para Porto Velho – Bairro: Setor Industrial. – Telefone: 069-3416-4865 / 4822. Horário de atendimento: das 08h00min </w:t>
      </w:r>
      <w:proofErr w:type="spellStart"/>
      <w:r w:rsidRPr="00500A56">
        <w:rPr>
          <w:rFonts w:ascii="Arial" w:hAnsi="Arial" w:cs="Arial"/>
          <w:bCs/>
          <w:color w:val="000000"/>
          <w:sz w:val="16"/>
          <w:szCs w:val="16"/>
        </w:rPr>
        <w:t>as</w:t>
      </w:r>
      <w:proofErr w:type="spellEnd"/>
      <w:r w:rsidRPr="00500A56">
        <w:rPr>
          <w:rFonts w:ascii="Arial" w:hAnsi="Arial" w:cs="Arial"/>
          <w:bCs/>
          <w:color w:val="000000"/>
          <w:sz w:val="16"/>
          <w:szCs w:val="16"/>
        </w:rPr>
        <w:t xml:space="preserve"> 12h00min e das 14h00min </w:t>
      </w:r>
      <w:proofErr w:type="spellStart"/>
      <w:r w:rsidRPr="00500A56">
        <w:rPr>
          <w:rFonts w:ascii="Arial" w:hAnsi="Arial" w:cs="Arial"/>
          <w:bCs/>
          <w:color w:val="000000"/>
          <w:sz w:val="16"/>
          <w:szCs w:val="16"/>
        </w:rPr>
        <w:t>as</w:t>
      </w:r>
      <w:proofErr w:type="spellEnd"/>
      <w:r w:rsidRPr="00500A56">
        <w:rPr>
          <w:rFonts w:ascii="Arial" w:hAnsi="Arial" w:cs="Arial"/>
          <w:bCs/>
          <w:color w:val="000000"/>
          <w:sz w:val="16"/>
          <w:szCs w:val="16"/>
        </w:rPr>
        <w:t xml:space="preserve"> 18h00min de segunda a sexta-feira e Porto Velho – End. Av. Rio Madeira nº 3056 - BAIRRO: </w:t>
      </w:r>
      <w:proofErr w:type="spellStart"/>
      <w:r w:rsidRPr="00500A56">
        <w:rPr>
          <w:rFonts w:ascii="Arial" w:hAnsi="Arial" w:cs="Arial"/>
          <w:bCs/>
          <w:color w:val="000000"/>
          <w:sz w:val="16"/>
          <w:szCs w:val="16"/>
        </w:rPr>
        <w:t>Flodoaldo</w:t>
      </w:r>
      <w:proofErr w:type="spellEnd"/>
      <w:r w:rsidRPr="00500A56">
        <w:rPr>
          <w:rFonts w:ascii="Arial" w:hAnsi="Arial" w:cs="Arial"/>
          <w:bCs/>
          <w:color w:val="000000"/>
          <w:sz w:val="16"/>
          <w:szCs w:val="16"/>
        </w:rPr>
        <w:t xml:space="preserve"> Pontes Pinto - CEP: 76820408 - Ao Lado do Porto Velho Shopping - Fone: 8413-0085. Horário de atendimento: das 08h00min </w:t>
      </w:r>
      <w:proofErr w:type="spellStart"/>
      <w:r w:rsidRPr="00500A56">
        <w:rPr>
          <w:rFonts w:ascii="Arial" w:hAnsi="Arial" w:cs="Arial"/>
          <w:bCs/>
          <w:color w:val="000000"/>
          <w:sz w:val="16"/>
          <w:szCs w:val="16"/>
        </w:rPr>
        <w:t>as</w:t>
      </w:r>
      <w:proofErr w:type="spellEnd"/>
      <w:r w:rsidRPr="00500A56">
        <w:rPr>
          <w:rFonts w:ascii="Arial" w:hAnsi="Arial" w:cs="Arial"/>
          <w:bCs/>
          <w:color w:val="000000"/>
          <w:sz w:val="16"/>
          <w:szCs w:val="16"/>
        </w:rPr>
        <w:t xml:space="preserve"> 13h00min de segunda a sexta–feira, ou em outro local dentro da Capital solicitado pelo DER-RO.</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7.  DAS CONDIÇÕES DE PAGAMENTO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7.1. A empresa detentora da Ata apresentará a Gerência Financeira do Órgão requisitante a nota fiscal referente ao fornecimento efetuado.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7.2. O respectivo Órgão terá o prazo de 10 (dez) dias úteis, a contar da apresentação da nota fiscal para aceitá-la ou rejeitá-la.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500A56">
        <w:rPr>
          <w:rFonts w:ascii="Arial" w:hAnsi="Arial" w:cs="Arial"/>
          <w:bCs/>
          <w:color w:val="000000"/>
          <w:sz w:val="16"/>
          <w:szCs w:val="16"/>
        </w:rPr>
        <w:t>a</w:t>
      </w:r>
      <w:proofErr w:type="gramEnd"/>
      <w:r w:rsidRPr="00500A56">
        <w:rPr>
          <w:rFonts w:ascii="Arial" w:hAnsi="Arial" w:cs="Arial"/>
          <w:bCs/>
          <w:color w:val="000000"/>
          <w:sz w:val="16"/>
          <w:szCs w:val="16"/>
        </w:rPr>
        <w:t xml:space="preserve"> partir da data de sua reapresentação.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7.4. A devolução da nota fiscal não aprovada, em hipótese alguma, servirá de pretexto para que a empresa detentora da Ata suspenda quaisquer fornecimentos.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8.  DA DOTAÇÃO ORÇAMENTÁRIA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 DAS SANÇÕES </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9.1. Pela Inexecução total ou parcial do objeto, o FITHA/DER/RO poderá, garantida a prévia defesa, aplicar à empresa contratada as seguintes sanções: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9.1.1. Advertência, que será aplicada por meio de notificação, estabelecendo o prazo de 05 (cinco) dias úteis para que a empresa contratada apresente justificativas para o atraso, que só serão aceitas mediante crivo da Administração;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9.1.2.1. A multa moratória será aplicada a partir do 1º dia útil da inadimplência, contado da data definida para o regular cumprimento da obrigação;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lastRenderedPageBreak/>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9.1.5. Multa de 10% (dez por cento) sobre o valor do produto não entregue, no caso de inexecução parcial, sem embargo de indenização dos prejuízos porventura causados ao DER/RO pela execução parcial do contrato;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9.1.6. Multa de 10% (dez por cento) sobre o valor total do contrato, no caso de sua inexecução total, sem embargo de indenização dos prejuízos porventura causados ao DER/RO;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9.1.7. Multa de 10% (dez por cento) sobre o valor do produto não entregue, pela recusa injustificada na substituição de material defeituoso no prazo estabelecido neste Termo de Referência;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9.2. A multa prevista nos subitens 9.1.2, 9.1.3 e 9.1.8 poderão ser aplicadas isoladas ou em conjunto com as previstas nos subitens 9.1.5 e 9.1.6;</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10. DA UTILIZAÇÃO DA ATA </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10.2. É facultada aos órgãos s ou entidades municipais, distritais ou estaduais a adesão a ata de registro de preços da Administração Pública Estadual.</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500A56">
        <w:rPr>
          <w:rFonts w:ascii="Arial" w:hAnsi="Arial" w:cs="Arial"/>
          <w:bCs/>
          <w:color w:val="000000"/>
          <w:sz w:val="16"/>
          <w:szCs w:val="16"/>
        </w:rPr>
        <w:t>independente</w:t>
      </w:r>
      <w:proofErr w:type="spellEnd"/>
      <w:r w:rsidRPr="00500A56">
        <w:rPr>
          <w:rFonts w:ascii="Arial" w:hAnsi="Arial" w:cs="Arial"/>
          <w:bCs/>
          <w:color w:val="000000"/>
          <w:sz w:val="16"/>
          <w:szCs w:val="16"/>
        </w:rPr>
        <w:t xml:space="preserve"> do número de órgãos não participantes que aderirem. </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10.6. Caberá ao órgão que se utilizar da ata, verificar a vantagem econômica da adesão a este Registro de Preço.</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11. DA ALTERAÇÃO DA ATA DE REGISTRO DE PREÇOS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11.4. A ordem de classificação dos fornecedores que aceitarem reduzir seus preços aos valores de mercado observará a classificação original.</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 xml:space="preserve">11.5. Quando o preço de mercado tornar-se superior aos preços registrados, e o fornecedor não puder cumprir o </w:t>
      </w:r>
      <w:proofErr w:type="gramStart"/>
      <w:r w:rsidRPr="00500A56">
        <w:rPr>
          <w:rFonts w:ascii="Arial" w:hAnsi="Arial" w:cs="Arial"/>
          <w:bCs/>
          <w:color w:val="000000"/>
          <w:sz w:val="16"/>
          <w:szCs w:val="16"/>
        </w:rPr>
        <w:t>compromisso ,</w:t>
      </w:r>
      <w:proofErr w:type="gramEnd"/>
      <w:r w:rsidRPr="00500A56">
        <w:rPr>
          <w:rFonts w:ascii="Arial" w:hAnsi="Arial" w:cs="Arial"/>
          <w:bCs/>
          <w:color w:val="000000"/>
          <w:sz w:val="16"/>
          <w:szCs w:val="16"/>
        </w:rPr>
        <w:t xml:space="preserve"> o órgão gerenciador poderá:</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11.5.2. Convocar os demais fornecedores para assegurar igual oportunidade de negociação;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12. DAS OBRIGAÇÕES DA DETENTORA DO REGISTRO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12.2. Dispor-se a toda e qualquer fiscalização, no tocante ao fornecimento do produto, assim como ao cumprimento das obrigações previstas na ATA;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12.6. Respeitar e fazer cumprir a legislação de segurança e saúde no trabalho, previstas nas normas regulamentadoras pertinentes;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12.10. Todos os impostos e taxas que forem devidos em decorrência das contratações do objeto do Edital correrão por conta exclusiva da contratada;   </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13. DAS OBRIGAÇÕES DOS ÓRGÃOS REQUISITANTES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13.1. Proporcionar todas as facilidades indispensáveis à boa execução das obrigações contratuais; </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13.2. Rejeitar, no todo ou em parte, os objetos desta Ata entregues em desacordo com as obrigações assumidas pelo fornecedor;</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13.3. Notificar a CONTRATADA de qualquer irregularidade encontrada no fornecimento dos objetos desta Ata;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13.4. Efetuar o pagamento à(s) contratada(s) de acordo com as condições de preços e prazos estabelecidos no edital e ata de registro de preços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 xml:space="preserve">13.6. Não haverá </w:t>
      </w:r>
      <w:proofErr w:type="spellStart"/>
      <w:r w:rsidRPr="00500A56">
        <w:rPr>
          <w:rFonts w:ascii="Arial" w:hAnsi="Arial" w:cs="Arial"/>
          <w:bCs/>
          <w:color w:val="000000"/>
          <w:sz w:val="16"/>
          <w:szCs w:val="16"/>
        </w:rPr>
        <w:t>sob-hipótese</w:t>
      </w:r>
      <w:proofErr w:type="spellEnd"/>
      <w:r w:rsidRPr="00500A56">
        <w:rPr>
          <w:rFonts w:ascii="Arial" w:hAnsi="Arial" w:cs="Arial"/>
          <w:bCs/>
          <w:color w:val="000000"/>
          <w:sz w:val="16"/>
          <w:szCs w:val="16"/>
        </w:rPr>
        <w:t xml:space="preserve"> alguma, pagamento antecipado.</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lastRenderedPageBreak/>
        <w:t>14. DOS ÓRGÃOS PARTICIPANTES: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14.1. É participante desta ata o seguinte órgão pertencente à Administração Pública do Estado de Rondônia:</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FITHA - FUNDO PARA INFRA-ESTRUTURA DE TRANSPORTES HABITAÇÃO.</w:t>
      </w:r>
    </w:p>
    <w:p w:rsidR="00500A56" w:rsidRDefault="00500A56" w:rsidP="00500A56">
      <w:pPr>
        <w:rPr>
          <w:rFonts w:ascii="Arial" w:hAnsi="Arial" w:cs="Arial"/>
          <w:bCs/>
          <w:color w:val="000000"/>
          <w:sz w:val="16"/>
          <w:szCs w:val="16"/>
        </w:rPr>
      </w:pP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15.  DISPOSIÇÕES GERAIS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 </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 </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 Fica eleito o foro do Município de Porto Velho/RO para dirimir as eventuais controvérsias decorrentes do presente ajuste.</w:t>
      </w:r>
    </w:p>
    <w:p w:rsidR="009D2314" w:rsidRPr="009263FF" w:rsidRDefault="009D2314" w:rsidP="009263FF">
      <w:pPr>
        <w:rPr>
          <w:rFonts w:ascii="Arial" w:hAnsi="Arial" w:cs="Arial"/>
          <w:bCs/>
          <w:color w:val="000000"/>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500A56" w:rsidP="00526790">
      <w:pPr>
        <w:ind w:right="47"/>
        <w:jc w:val="both"/>
        <w:rPr>
          <w:rFonts w:ascii="Arial" w:hAnsi="Arial" w:cs="Arial"/>
          <w:b/>
          <w:bCs/>
          <w:color w:val="000000"/>
          <w:sz w:val="12"/>
          <w:szCs w:val="12"/>
        </w:rPr>
      </w:pPr>
      <w:r>
        <w:rPr>
          <w:rFonts w:ascii="Arial" w:hAnsi="Arial" w:cs="Arial"/>
          <w:b/>
          <w:bCs/>
          <w:color w:val="000000"/>
          <w:sz w:val="12"/>
          <w:szCs w:val="12"/>
        </w:rPr>
        <w:t>FCB</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C6858E-2F53-4CA5-B661-30CE55335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2598</Words>
  <Characters>14501</Characters>
  <Application>Microsoft Office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2019-12-30T17:05:00Z</cp:lastPrinted>
  <dcterms:created xsi:type="dcterms:W3CDTF">2021-02-02T17:30:00Z</dcterms:created>
  <dcterms:modified xsi:type="dcterms:W3CDTF">2021-02-02T17:33:00Z</dcterms:modified>
</cp:coreProperties>
</file>