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187082" w:rsidRDefault="00A41308" w:rsidP="00531DA4">
      <w:pPr>
        <w:pStyle w:val="Cabealho"/>
        <w:spacing w:before="100" w:after="100"/>
        <w:contextualSpacing/>
        <w:jc w:val="center"/>
        <w:rPr>
          <w:b/>
        </w:rPr>
      </w:pPr>
      <w:r w:rsidRPr="00187082">
        <w:rPr>
          <w:b/>
        </w:rPr>
        <w:t>Porto V</w:t>
      </w:r>
      <w:r w:rsidR="00531DA4" w:rsidRPr="00187082">
        <w:rPr>
          <w:b/>
        </w:rPr>
        <w:t xml:space="preserve">elho, Rondônia. </w:t>
      </w:r>
    </w:p>
    <w:bookmarkEnd w:id="0"/>
    <w:p w:rsidR="00E76577" w:rsidRPr="00E76577" w:rsidRDefault="00E76577" w:rsidP="00E76577">
      <w:pPr>
        <w:ind w:left="120" w:right="120"/>
        <w:jc w:val="both"/>
        <w:rPr>
          <w:rFonts w:ascii="Arial" w:hAnsi="Arial" w:cs="Arial"/>
          <w:b/>
          <w:bCs/>
          <w:color w:val="000000"/>
          <w:sz w:val="16"/>
          <w:szCs w:val="16"/>
        </w:rPr>
      </w:pPr>
      <w:r w:rsidRPr="00007E58">
        <w:rPr>
          <w:rFonts w:ascii="Arial" w:hAnsi="Arial" w:cs="Arial"/>
          <w:b/>
          <w:bCs/>
          <w:color w:val="000000"/>
          <w:sz w:val="16"/>
          <w:szCs w:val="16"/>
        </w:rPr>
        <w:t>ATA DE REGISTRO DE PREÇOS Nº 007/2021</w:t>
      </w:r>
    </w:p>
    <w:p w:rsidR="00E76577" w:rsidRPr="00E76577" w:rsidRDefault="00E76577" w:rsidP="00E76577">
      <w:pPr>
        <w:ind w:left="120" w:right="120"/>
        <w:jc w:val="both"/>
        <w:rPr>
          <w:rFonts w:ascii="Arial" w:hAnsi="Arial" w:cs="Arial"/>
          <w:b/>
          <w:bCs/>
          <w:color w:val="000000"/>
          <w:sz w:val="16"/>
          <w:szCs w:val="16"/>
        </w:rPr>
      </w:pPr>
      <w:r w:rsidRPr="00007E58">
        <w:rPr>
          <w:rFonts w:ascii="Arial" w:hAnsi="Arial" w:cs="Arial"/>
          <w:b/>
          <w:bCs/>
          <w:color w:val="000000"/>
          <w:sz w:val="16"/>
          <w:szCs w:val="16"/>
        </w:rPr>
        <w:t>PREGÃO ELETRÔNICO Nº 151/2020</w:t>
      </w:r>
    </w:p>
    <w:p w:rsidR="00E76577" w:rsidRPr="00E76577" w:rsidRDefault="00E76577" w:rsidP="00E76577">
      <w:pPr>
        <w:ind w:left="120" w:right="120"/>
        <w:jc w:val="both"/>
        <w:rPr>
          <w:rFonts w:ascii="Arial" w:hAnsi="Arial" w:cs="Arial"/>
          <w:b/>
          <w:bCs/>
          <w:color w:val="000000"/>
          <w:sz w:val="16"/>
          <w:szCs w:val="16"/>
        </w:rPr>
      </w:pPr>
      <w:r w:rsidRPr="00007E58">
        <w:rPr>
          <w:rFonts w:ascii="Arial" w:hAnsi="Arial" w:cs="Arial"/>
          <w:b/>
          <w:bCs/>
          <w:color w:val="000000"/>
          <w:sz w:val="16"/>
          <w:szCs w:val="16"/>
        </w:rPr>
        <w:t>PROCESSO Nº 0048.019486/2020-65</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 </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REGISTRAR O PREÇO para futura e eventual aquisição de GÊNEROS ALIMENTÍCIOS perecíveis e não perecíveis, para atender as necessidades das unidades vinculadas ao Instituto Estadual de Desenvolvimento da Educação Profissional – IDEP/RO,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 </w:t>
      </w:r>
    </w:p>
    <w:p w:rsidR="00E76577" w:rsidRPr="00E76577" w:rsidRDefault="00E76577" w:rsidP="00E76577">
      <w:pPr>
        <w:ind w:left="120" w:right="120"/>
        <w:jc w:val="both"/>
        <w:rPr>
          <w:rFonts w:ascii="Arial" w:hAnsi="Arial" w:cs="Arial"/>
          <w:b/>
          <w:bCs/>
          <w:color w:val="000000"/>
          <w:sz w:val="16"/>
          <w:szCs w:val="16"/>
        </w:rPr>
      </w:pPr>
      <w:r w:rsidRPr="00007E58">
        <w:rPr>
          <w:rFonts w:ascii="Arial" w:hAnsi="Arial" w:cs="Arial"/>
          <w:b/>
          <w:bCs/>
          <w:color w:val="000000"/>
          <w:sz w:val="16"/>
          <w:szCs w:val="16"/>
        </w:rPr>
        <w:t>01. DO OBJETO:</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1.1. Registro de Preços para futura e eventual aquisição de GÊNEROS ALIMENTÍCIOS perecíveis e não perecíveis, para atender as necessidades das unidades vinculadas ao Instituto Estadual de Desenvolvimento da Educação Profissional – IDEP/RO.</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 </w:t>
      </w:r>
    </w:p>
    <w:p w:rsidR="00E76577" w:rsidRPr="00E76577" w:rsidRDefault="00E76577" w:rsidP="00E76577">
      <w:pPr>
        <w:ind w:left="120" w:right="120"/>
        <w:jc w:val="both"/>
        <w:rPr>
          <w:rFonts w:ascii="Arial" w:hAnsi="Arial" w:cs="Arial"/>
          <w:b/>
          <w:bCs/>
          <w:color w:val="000000"/>
          <w:sz w:val="16"/>
          <w:szCs w:val="16"/>
        </w:rPr>
      </w:pPr>
      <w:r w:rsidRPr="00007E58">
        <w:rPr>
          <w:rFonts w:ascii="Arial" w:hAnsi="Arial" w:cs="Arial"/>
          <w:b/>
          <w:bCs/>
          <w:color w:val="000000"/>
          <w:sz w:val="16"/>
          <w:szCs w:val="16"/>
        </w:rPr>
        <w:t>02. DA VIGÊNCIA:</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2.1. O presente Registro de Preços terá validade de 12 (doze) meses, contados a partir de sua publicação no Diário Oficial do Estado.</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2.2. A vigência dos contratos decorrentes do Sistema de Registro de Preços será definida nos instrumentos convocatórios, observado o artigo 57 da Lei 8.666, de 1993, conforme Decreto Estadual nº 18.340/13.</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 </w:t>
      </w:r>
    </w:p>
    <w:p w:rsidR="00E76577" w:rsidRPr="00E76577" w:rsidRDefault="00E76577" w:rsidP="00E76577">
      <w:pPr>
        <w:ind w:left="120" w:right="120"/>
        <w:jc w:val="both"/>
        <w:rPr>
          <w:rFonts w:ascii="Arial" w:hAnsi="Arial" w:cs="Arial"/>
          <w:b/>
          <w:bCs/>
          <w:color w:val="000000"/>
          <w:sz w:val="16"/>
          <w:szCs w:val="16"/>
        </w:rPr>
      </w:pPr>
      <w:r w:rsidRPr="00007E58">
        <w:rPr>
          <w:rFonts w:ascii="Arial" w:hAnsi="Arial" w:cs="Arial"/>
          <w:b/>
          <w:bCs/>
          <w:color w:val="000000"/>
          <w:sz w:val="16"/>
          <w:szCs w:val="16"/>
        </w:rPr>
        <w:t>03. DA GERÊNCIA DA PRESENTE ATA DE REGISTRO DE PREÇOS:</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 </w:t>
      </w:r>
    </w:p>
    <w:p w:rsidR="00E76577" w:rsidRPr="00E76577" w:rsidRDefault="00E76577" w:rsidP="00E76577">
      <w:pPr>
        <w:ind w:left="120" w:right="120"/>
        <w:jc w:val="both"/>
        <w:rPr>
          <w:rFonts w:ascii="Arial" w:hAnsi="Arial" w:cs="Arial"/>
          <w:b/>
          <w:bCs/>
          <w:color w:val="000000"/>
          <w:sz w:val="16"/>
          <w:szCs w:val="16"/>
        </w:rPr>
      </w:pPr>
      <w:r w:rsidRPr="00007E58">
        <w:rPr>
          <w:rFonts w:ascii="Arial" w:hAnsi="Arial" w:cs="Arial"/>
          <w:b/>
          <w:bCs/>
          <w:color w:val="000000"/>
          <w:sz w:val="16"/>
          <w:szCs w:val="16"/>
        </w:rPr>
        <w:t>04. DA ESPECIFICAÇÃO, QUANTIDADE E PREÇO:</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4.1. O preço, a quantidade, o fornecedor e a especificação do item registrado nesta Ata, encontram-se indicados no Anexo I deste instrumento.</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 </w:t>
      </w:r>
    </w:p>
    <w:p w:rsidR="00E76577" w:rsidRPr="00E76577" w:rsidRDefault="00E76577" w:rsidP="00E76577">
      <w:pPr>
        <w:ind w:left="120" w:right="120"/>
        <w:jc w:val="both"/>
        <w:rPr>
          <w:rFonts w:ascii="Arial" w:hAnsi="Arial" w:cs="Arial"/>
          <w:b/>
          <w:bCs/>
          <w:color w:val="000000"/>
          <w:sz w:val="16"/>
          <w:szCs w:val="16"/>
        </w:rPr>
      </w:pPr>
      <w:r w:rsidRPr="00007E58">
        <w:rPr>
          <w:rFonts w:ascii="Arial" w:hAnsi="Arial" w:cs="Arial"/>
          <w:b/>
          <w:bCs/>
          <w:color w:val="000000"/>
          <w:sz w:val="16"/>
          <w:szCs w:val="16"/>
        </w:rPr>
        <w:t>05. PRAZOS E CONDIÇÕES DE FORNECIMENTO:</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A DETENTORA do registro de preços se obriga, nos termos do Edital e deste instrumento, a:</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5.1. Retirar a Nota de Empenho junto ao órgão solicitante no prazo de até 05 (cinco) dias, contados da convocação;</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5.2. Iniciar o fornecimento do objeto dessa Ata, conforme prazo estabelecido no Termo de Referência e edital de licitações.</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 </w:t>
      </w:r>
    </w:p>
    <w:p w:rsidR="00E76577" w:rsidRPr="00E76577" w:rsidRDefault="00E76577" w:rsidP="00E76577">
      <w:pPr>
        <w:ind w:left="120" w:right="120"/>
        <w:jc w:val="both"/>
        <w:rPr>
          <w:rFonts w:ascii="Arial" w:hAnsi="Arial" w:cs="Arial"/>
          <w:b/>
          <w:bCs/>
          <w:color w:val="000000"/>
          <w:sz w:val="16"/>
          <w:szCs w:val="16"/>
        </w:rPr>
      </w:pPr>
      <w:r w:rsidRPr="00007E58">
        <w:rPr>
          <w:rFonts w:ascii="Arial" w:hAnsi="Arial" w:cs="Arial"/>
          <w:b/>
          <w:bCs/>
          <w:color w:val="000000"/>
          <w:sz w:val="16"/>
          <w:szCs w:val="16"/>
        </w:rPr>
        <w:t>06. DO PRAZO, LOCAL DE ENTREGA:</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 xml:space="preserve">6.3. Após a entrega à(s) empresa(s) detentoras (s) da Nota de Empenho; da Requisição de Fornecimento e do Cronograma de Entrega de Materiais de Consumo – Gêneros Alimentícios, as mesmas terão o prazo máximo de 10 (dez) dias para realizarem o primeiro fornecimento, no CENTEC </w:t>
      </w:r>
      <w:proofErr w:type="spellStart"/>
      <w:r w:rsidRPr="00E76577">
        <w:rPr>
          <w:rFonts w:ascii="Arial" w:hAnsi="Arial" w:cs="Arial"/>
          <w:bCs/>
          <w:color w:val="000000"/>
          <w:sz w:val="16"/>
          <w:szCs w:val="16"/>
        </w:rPr>
        <w:t>Abaitará</w:t>
      </w:r>
      <w:proofErr w:type="spellEnd"/>
      <w:r w:rsidRPr="00E76577">
        <w:rPr>
          <w:rFonts w:ascii="Arial" w:hAnsi="Arial" w:cs="Arial"/>
          <w:bCs/>
          <w:color w:val="000000"/>
          <w:sz w:val="16"/>
          <w:szCs w:val="16"/>
        </w:rPr>
        <w:t xml:space="preserve"> situado à Rodovia RO 010, KM 32, Setor </w:t>
      </w:r>
      <w:proofErr w:type="spellStart"/>
      <w:r w:rsidRPr="00E76577">
        <w:rPr>
          <w:rFonts w:ascii="Arial" w:hAnsi="Arial" w:cs="Arial"/>
          <w:bCs/>
          <w:color w:val="000000"/>
          <w:sz w:val="16"/>
          <w:szCs w:val="16"/>
        </w:rPr>
        <w:t>Abaitará</w:t>
      </w:r>
      <w:proofErr w:type="spellEnd"/>
      <w:r w:rsidRPr="00E76577">
        <w:rPr>
          <w:rFonts w:ascii="Arial" w:hAnsi="Arial" w:cs="Arial"/>
          <w:bCs/>
          <w:color w:val="000000"/>
          <w:sz w:val="16"/>
          <w:szCs w:val="16"/>
        </w:rPr>
        <w:t>, Pimenta Bueno – RO, de segunda à sexta-feira, das 08h:00min às 12h:00min e das 14h:00min às 17h:00min, e os demais fornecimentos deverão obedecer rigorosamente o anteriormente citado Cronograma de Entrega de Materiais de Consumo – Gêneros Alimentícios.</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 xml:space="preserve">6.4. Caso não haja expediente na data marcada para a entrega dos materiais, ficará automaticamente adiada para o primeiro </w:t>
      </w:r>
      <w:proofErr w:type="gramStart"/>
      <w:r w:rsidRPr="00E76577">
        <w:rPr>
          <w:rFonts w:ascii="Arial" w:hAnsi="Arial" w:cs="Arial"/>
          <w:bCs/>
          <w:color w:val="000000"/>
          <w:sz w:val="16"/>
          <w:szCs w:val="16"/>
        </w:rPr>
        <w:t>dia  útil</w:t>
      </w:r>
      <w:proofErr w:type="gramEnd"/>
      <w:r w:rsidRPr="00E76577">
        <w:rPr>
          <w:rFonts w:ascii="Arial" w:hAnsi="Arial" w:cs="Arial"/>
          <w:bCs/>
          <w:color w:val="000000"/>
          <w:sz w:val="16"/>
          <w:szCs w:val="16"/>
        </w:rPr>
        <w:t xml:space="preserve"> subsequente, no mesmo local, sendo de responsabilidade do fornecedor entrar em contato para informar a previsão de entrega e certificar-se de funcionamento do órgão.</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 xml:space="preserve">6.5. Se o fornecedor tiver comprovadamente dificuldades de entregar os materiais, poderá ser dispensado das sanções, desde que informe oficialmente com antecedência de pelo menos 02 (dois) dias úteis antes de esgotado o prazo, apresentando uma justificativa circunstanciada formal, que deverá ser encaminhada </w:t>
      </w:r>
      <w:proofErr w:type="spellStart"/>
      <w:r w:rsidRPr="00E76577">
        <w:rPr>
          <w:rFonts w:ascii="Arial" w:hAnsi="Arial" w:cs="Arial"/>
          <w:bCs/>
          <w:color w:val="000000"/>
          <w:sz w:val="16"/>
          <w:szCs w:val="16"/>
        </w:rPr>
        <w:t>á</w:t>
      </w:r>
      <w:proofErr w:type="spellEnd"/>
      <w:r w:rsidRPr="00E76577">
        <w:rPr>
          <w:rFonts w:ascii="Arial" w:hAnsi="Arial" w:cs="Arial"/>
          <w:bCs/>
          <w:color w:val="000000"/>
          <w:sz w:val="16"/>
          <w:szCs w:val="16"/>
        </w:rPr>
        <w:t xml:space="preserve"> Diretoria Geral do CENTEC </w:t>
      </w:r>
      <w:proofErr w:type="spellStart"/>
      <w:r w:rsidRPr="00E76577">
        <w:rPr>
          <w:rFonts w:ascii="Arial" w:hAnsi="Arial" w:cs="Arial"/>
          <w:bCs/>
          <w:color w:val="000000"/>
          <w:sz w:val="16"/>
          <w:szCs w:val="16"/>
        </w:rPr>
        <w:t>Abaitará</w:t>
      </w:r>
      <w:proofErr w:type="spellEnd"/>
      <w:r w:rsidRPr="00E76577">
        <w:rPr>
          <w:rFonts w:ascii="Arial" w:hAnsi="Arial" w:cs="Arial"/>
          <w:bCs/>
          <w:color w:val="000000"/>
          <w:sz w:val="16"/>
          <w:szCs w:val="16"/>
        </w:rPr>
        <w:t>, que, por sua vez, tomará a decisão se o prazo poderá ser prorrogado ou não.</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 xml:space="preserve">6.6. Depois de esgotado(s) o(s) prazo(s) concedido(s), se for o caso, o CENTEC </w:t>
      </w:r>
      <w:proofErr w:type="spellStart"/>
      <w:r w:rsidRPr="00E76577">
        <w:rPr>
          <w:rFonts w:ascii="Arial" w:hAnsi="Arial" w:cs="Arial"/>
          <w:bCs/>
          <w:color w:val="000000"/>
          <w:sz w:val="16"/>
          <w:szCs w:val="16"/>
        </w:rPr>
        <w:t>Abaitará</w:t>
      </w:r>
      <w:proofErr w:type="spellEnd"/>
      <w:r w:rsidRPr="00E76577">
        <w:rPr>
          <w:rFonts w:ascii="Arial" w:hAnsi="Arial" w:cs="Arial"/>
          <w:bCs/>
          <w:color w:val="000000"/>
          <w:sz w:val="16"/>
          <w:szCs w:val="16"/>
        </w:rPr>
        <w:t xml:space="preserve"> aplicará as sanções administrativas previstas neste Termo de Referência.</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 xml:space="preserve">6.7. A Diretora do CENTEC </w:t>
      </w:r>
      <w:proofErr w:type="spellStart"/>
      <w:r w:rsidRPr="00E76577">
        <w:rPr>
          <w:rFonts w:ascii="Arial" w:hAnsi="Arial" w:cs="Arial"/>
          <w:bCs/>
          <w:color w:val="000000"/>
          <w:sz w:val="16"/>
          <w:szCs w:val="16"/>
        </w:rPr>
        <w:t>Abaitará</w:t>
      </w:r>
      <w:proofErr w:type="spellEnd"/>
      <w:r w:rsidRPr="00E76577">
        <w:rPr>
          <w:rFonts w:ascii="Arial" w:hAnsi="Arial" w:cs="Arial"/>
          <w:bCs/>
          <w:color w:val="000000"/>
          <w:sz w:val="16"/>
          <w:szCs w:val="16"/>
        </w:rPr>
        <w:t xml:space="preserve"> fornecerá o cronograma de entrega, que deverá ser assinada em conjunto com o Setor de Almoxarifado e Patrimônio, qual deverá se identificar através de seu carimbo e assinatura.</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6.8. Periodicidade da Entrega dos Produtos:</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6.8.1. A(s) empresa(s) detentoras (s) deverão entregar os produtos obedecendo à seguinte periodicidade, informada no Cronograma de Entrega de Materiais de Consumo – Gêneros Alimentícios:</w:t>
      </w:r>
    </w:p>
    <w:p w:rsidR="00E76577" w:rsidRPr="00E76577" w:rsidRDefault="00E76577" w:rsidP="00E76577">
      <w:pPr>
        <w:numPr>
          <w:ilvl w:val="0"/>
          <w:numId w:val="48"/>
        </w:numPr>
        <w:ind w:left="840" w:right="120" w:firstLine="0"/>
        <w:jc w:val="both"/>
        <w:rPr>
          <w:rFonts w:ascii="Arial" w:hAnsi="Arial" w:cs="Arial"/>
          <w:bCs/>
          <w:color w:val="000000"/>
          <w:sz w:val="16"/>
          <w:szCs w:val="16"/>
        </w:rPr>
      </w:pPr>
      <w:r w:rsidRPr="00E76577">
        <w:rPr>
          <w:rFonts w:ascii="Arial" w:hAnsi="Arial" w:cs="Arial"/>
          <w:bCs/>
          <w:color w:val="000000"/>
          <w:sz w:val="16"/>
          <w:szCs w:val="16"/>
        </w:rPr>
        <w:t>Hortifrutigranjeiros – semanalmente;</w:t>
      </w:r>
    </w:p>
    <w:p w:rsidR="00E76577" w:rsidRPr="00E76577" w:rsidRDefault="00E76577" w:rsidP="00E76577">
      <w:pPr>
        <w:numPr>
          <w:ilvl w:val="0"/>
          <w:numId w:val="48"/>
        </w:numPr>
        <w:ind w:left="840" w:right="120" w:firstLine="0"/>
        <w:jc w:val="both"/>
        <w:rPr>
          <w:rFonts w:ascii="Arial" w:hAnsi="Arial" w:cs="Arial"/>
          <w:bCs/>
          <w:color w:val="000000"/>
          <w:sz w:val="16"/>
          <w:szCs w:val="16"/>
        </w:rPr>
      </w:pPr>
      <w:r w:rsidRPr="00E76577">
        <w:rPr>
          <w:rFonts w:ascii="Arial" w:hAnsi="Arial" w:cs="Arial"/>
          <w:bCs/>
          <w:color w:val="000000"/>
          <w:sz w:val="16"/>
          <w:szCs w:val="16"/>
        </w:rPr>
        <w:t>Derivados lácteos e refrigerados, semanalmente;</w:t>
      </w:r>
    </w:p>
    <w:p w:rsidR="00E76577" w:rsidRPr="00E76577" w:rsidRDefault="00E76577" w:rsidP="00E76577">
      <w:pPr>
        <w:numPr>
          <w:ilvl w:val="0"/>
          <w:numId w:val="48"/>
        </w:numPr>
        <w:ind w:left="840" w:right="120" w:firstLine="0"/>
        <w:jc w:val="both"/>
        <w:rPr>
          <w:rFonts w:ascii="Arial" w:hAnsi="Arial" w:cs="Arial"/>
          <w:bCs/>
          <w:color w:val="000000"/>
          <w:sz w:val="16"/>
          <w:szCs w:val="16"/>
        </w:rPr>
      </w:pPr>
      <w:r w:rsidRPr="00E76577">
        <w:rPr>
          <w:rFonts w:ascii="Arial" w:hAnsi="Arial" w:cs="Arial"/>
          <w:bCs/>
          <w:color w:val="000000"/>
          <w:sz w:val="16"/>
          <w:szCs w:val="16"/>
        </w:rPr>
        <w:t xml:space="preserve">Produtos de </w:t>
      </w:r>
      <w:proofErr w:type="spellStart"/>
      <w:proofErr w:type="gramStart"/>
      <w:r w:rsidRPr="00E76577">
        <w:rPr>
          <w:rFonts w:ascii="Arial" w:hAnsi="Arial" w:cs="Arial"/>
          <w:bCs/>
          <w:color w:val="000000"/>
          <w:sz w:val="16"/>
          <w:szCs w:val="16"/>
        </w:rPr>
        <w:t>panificação,variável</w:t>
      </w:r>
      <w:proofErr w:type="spellEnd"/>
      <w:proofErr w:type="gramEnd"/>
      <w:r w:rsidRPr="00E76577">
        <w:rPr>
          <w:rFonts w:ascii="Arial" w:hAnsi="Arial" w:cs="Arial"/>
          <w:bCs/>
          <w:color w:val="000000"/>
          <w:sz w:val="16"/>
          <w:szCs w:val="16"/>
        </w:rPr>
        <w:t xml:space="preserve"> de acordo com cardápio;</w:t>
      </w:r>
    </w:p>
    <w:p w:rsidR="00E76577" w:rsidRPr="00E76577" w:rsidRDefault="00E76577" w:rsidP="00E76577">
      <w:pPr>
        <w:numPr>
          <w:ilvl w:val="0"/>
          <w:numId w:val="48"/>
        </w:numPr>
        <w:ind w:left="840" w:right="120" w:firstLine="0"/>
        <w:jc w:val="both"/>
        <w:rPr>
          <w:rFonts w:ascii="Arial" w:hAnsi="Arial" w:cs="Arial"/>
          <w:bCs/>
          <w:color w:val="000000"/>
          <w:sz w:val="16"/>
          <w:szCs w:val="16"/>
        </w:rPr>
      </w:pPr>
      <w:r w:rsidRPr="00E76577">
        <w:rPr>
          <w:rFonts w:ascii="Arial" w:hAnsi="Arial" w:cs="Arial"/>
          <w:bCs/>
          <w:color w:val="000000"/>
          <w:sz w:val="16"/>
          <w:szCs w:val="16"/>
        </w:rPr>
        <w:t>Carnes e derivados e produtos congelados, quinzenalmente, </w:t>
      </w:r>
    </w:p>
    <w:p w:rsidR="00E76577" w:rsidRPr="00E76577" w:rsidRDefault="00E76577" w:rsidP="00E76577">
      <w:pPr>
        <w:numPr>
          <w:ilvl w:val="0"/>
          <w:numId w:val="48"/>
        </w:numPr>
        <w:ind w:left="840" w:right="120" w:firstLine="0"/>
        <w:jc w:val="both"/>
        <w:rPr>
          <w:rFonts w:ascii="Arial" w:hAnsi="Arial" w:cs="Arial"/>
          <w:bCs/>
          <w:color w:val="000000"/>
          <w:sz w:val="16"/>
          <w:szCs w:val="16"/>
        </w:rPr>
      </w:pPr>
      <w:r w:rsidRPr="00E76577">
        <w:rPr>
          <w:rFonts w:ascii="Arial" w:hAnsi="Arial" w:cs="Arial"/>
          <w:bCs/>
          <w:color w:val="000000"/>
          <w:sz w:val="16"/>
          <w:szCs w:val="16"/>
        </w:rPr>
        <w:t xml:space="preserve">Alimentos </w:t>
      </w:r>
      <w:proofErr w:type="spellStart"/>
      <w:r w:rsidRPr="00E76577">
        <w:rPr>
          <w:rFonts w:ascii="Arial" w:hAnsi="Arial" w:cs="Arial"/>
          <w:bCs/>
          <w:color w:val="000000"/>
          <w:sz w:val="16"/>
          <w:szCs w:val="16"/>
        </w:rPr>
        <w:t>Estoque-Seco</w:t>
      </w:r>
      <w:proofErr w:type="spellEnd"/>
      <w:r w:rsidRPr="00E76577">
        <w:rPr>
          <w:rFonts w:ascii="Arial" w:hAnsi="Arial" w:cs="Arial"/>
          <w:bCs/>
          <w:color w:val="000000"/>
          <w:sz w:val="16"/>
          <w:szCs w:val="16"/>
        </w:rPr>
        <w:t xml:space="preserve"> (não-perecíveis), mensalmente ou de acordo com a capacidade de estocagem da Unidade.</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6.9. Havendo necessidade de adequações, o cronograma de datas e periodicidade poderá sofrer alterações.</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 </w:t>
      </w:r>
    </w:p>
    <w:p w:rsidR="00E76577" w:rsidRPr="00E76577" w:rsidRDefault="00E76577" w:rsidP="00E76577">
      <w:pPr>
        <w:ind w:left="120" w:right="120"/>
        <w:jc w:val="both"/>
        <w:rPr>
          <w:rFonts w:ascii="Arial" w:hAnsi="Arial" w:cs="Arial"/>
          <w:b/>
          <w:bCs/>
          <w:color w:val="000000"/>
          <w:sz w:val="16"/>
          <w:szCs w:val="16"/>
        </w:rPr>
      </w:pPr>
      <w:r w:rsidRPr="00007E58">
        <w:rPr>
          <w:rFonts w:ascii="Arial" w:hAnsi="Arial" w:cs="Arial"/>
          <w:b/>
          <w:bCs/>
          <w:color w:val="000000"/>
          <w:sz w:val="16"/>
          <w:szCs w:val="16"/>
        </w:rPr>
        <w:t>07. DAS CONDIÇÕES DE PAGAMENTO:             </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7.1. A empresa detentora da Ata apresentará a Gerência Financeira do Órgão requisitante a nota fiscal referente ao fornecimento efetuado.</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7.2. O respectivo Órgão terá o prazo de 10 (dez) dias úteis, a contar da apresentação da nota fiscal para aceitá-la ou rejeitá-la.</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E76577">
        <w:rPr>
          <w:rFonts w:ascii="Arial" w:hAnsi="Arial" w:cs="Arial"/>
          <w:bCs/>
          <w:color w:val="000000"/>
          <w:sz w:val="16"/>
          <w:szCs w:val="16"/>
        </w:rPr>
        <w:t>a</w:t>
      </w:r>
      <w:proofErr w:type="gramEnd"/>
      <w:r w:rsidRPr="00E76577">
        <w:rPr>
          <w:rFonts w:ascii="Arial" w:hAnsi="Arial" w:cs="Arial"/>
          <w:bCs/>
          <w:color w:val="000000"/>
          <w:sz w:val="16"/>
          <w:szCs w:val="16"/>
        </w:rPr>
        <w:t xml:space="preserve"> partir da data de sua reapresentação.</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7.4. A devolução da nota fiscal não aprovada, em hipótese alguma, servirá de pretexto para que a empresa detentora da Ata suspenda quaisquer fornecimentos.</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lastRenderedPageBreak/>
        <w:t>7.5. O Estado de Rondônia, através dos órgãos requisitantes, providenciará o pagamento no prazo de até 30 (trinta) dias corridos, contada da data do aceite da nota fiscal.</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 </w:t>
      </w:r>
    </w:p>
    <w:p w:rsidR="00E76577" w:rsidRPr="00E76577" w:rsidRDefault="00E76577" w:rsidP="00E76577">
      <w:pPr>
        <w:ind w:left="120" w:right="120"/>
        <w:jc w:val="both"/>
        <w:rPr>
          <w:rFonts w:ascii="Arial" w:hAnsi="Arial" w:cs="Arial"/>
          <w:b/>
          <w:bCs/>
          <w:color w:val="000000"/>
          <w:sz w:val="16"/>
          <w:szCs w:val="16"/>
        </w:rPr>
      </w:pPr>
      <w:r w:rsidRPr="00007E58">
        <w:rPr>
          <w:rFonts w:ascii="Arial" w:hAnsi="Arial" w:cs="Arial"/>
          <w:b/>
          <w:bCs/>
          <w:color w:val="000000"/>
          <w:sz w:val="16"/>
          <w:szCs w:val="16"/>
        </w:rPr>
        <w:t>08. DA DOTAÇÃO ORÇAMENTÁRIA:</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 </w:t>
      </w:r>
    </w:p>
    <w:p w:rsidR="00E76577" w:rsidRPr="00E76577" w:rsidRDefault="00E76577" w:rsidP="00E76577">
      <w:pPr>
        <w:ind w:left="120" w:right="120"/>
        <w:jc w:val="both"/>
        <w:rPr>
          <w:rFonts w:ascii="Arial" w:hAnsi="Arial" w:cs="Arial"/>
          <w:b/>
          <w:bCs/>
          <w:color w:val="000000"/>
          <w:sz w:val="16"/>
          <w:szCs w:val="16"/>
        </w:rPr>
      </w:pPr>
      <w:r w:rsidRPr="00007E58">
        <w:rPr>
          <w:rFonts w:ascii="Arial" w:hAnsi="Arial" w:cs="Arial"/>
          <w:b/>
          <w:bCs/>
          <w:color w:val="000000"/>
          <w:sz w:val="16"/>
          <w:szCs w:val="16"/>
        </w:rPr>
        <w:t>09. DAS SANÇÕES:</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 xml:space="preserve">(Base Legal: art. 40, inciso III da Lei 8.666/93; art. 9º, V c/c § 2º do Decreto 10.024/2019; art. 3º, I, Lei 10520/02; art. 2º, II, “e” e 19, XI </w:t>
      </w:r>
      <w:proofErr w:type="gramStart"/>
      <w:r w:rsidRPr="00E76577">
        <w:rPr>
          <w:rFonts w:ascii="Arial" w:hAnsi="Arial" w:cs="Arial"/>
          <w:bCs/>
          <w:color w:val="000000"/>
          <w:sz w:val="16"/>
          <w:szCs w:val="16"/>
        </w:rPr>
        <w:t>da  IN</w:t>
      </w:r>
      <w:proofErr w:type="gramEnd"/>
      <w:r w:rsidRPr="00E76577">
        <w:rPr>
          <w:rFonts w:ascii="Arial" w:hAnsi="Arial" w:cs="Arial"/>
          <w:bCs/>
          <w:color w:val="000000"/>
          <w:sz w:val="16"/>
          <w:szCs w:val="16"/>
        </w:rPr>
        <w:t xml:space="preserve"> 05/2017/MPOG).</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9.1. Sem prejuízo das sanções cominadas no art. 87, I, III e IV, da Lei nº 8.666/93, pela inexecução total ou parcial do contrato, a Administração poderá, garantida a prévia e ampla defesa, aplicar à Contratada multa de até 10% (dez por cento) sobre o valor das parcelas inadimplidas.</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 xml:space="preserve">9.4. A multa, eventualmente imposta à Contratada, será automaticamente descontada da fatura a que fizer jus, acrescida de juros moratórios de 1% (um por cento) ao mês. Caso a contratada não tenha nenhum valor a receber do Estado, ser-lhe-á concedido o prazo de 05 (cinco) </w:t>
      </w:r>
      <w:proofErr w:type="gramStart"/>
      <w:r w:rsidRPr="00E76577">
        <w:rPr>
          <w:rFonts w:ascii="Arial" w:hAnsi="Arial" w:cs="Arial"/>
          <w:bCs/>
          <w:color w:val="000000"/>
          <w:sz w:val="16"/>
          <w:szCs w:val="16"/>
        </w:rPr>
        <w:t>dia ,</w:t>
      </w:r>
      <w:proofErr w:type="gramEnd"/>
      <w:r w:rsidRPr="00E76577">
        <w:rPr>
          <w:rFonts w:ascii="Arial" w:hAnsi="Arial" w:cs="Arial"/>
          <w:bCs/>
          <w:color w:val="000000"/>
          <w:sz w:val="16"/>
          <w:szCs w:val="16"/>
        </w:rPr>
        <w:t xml:space="preserve">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9.5. As multas previstas nesta seção não eximem a adjudicatária ou contratada da reparação dos eventuais danos, perdas ou prejuízos que seu ato punível venha causar à Administração.</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9.8. São exemplos de infração administrativa penalizáveis, nos termos da Lei nº 8.666, de 1993, da Lei nº 10.520, de 2002, do Decreto nº 3.555, de 2000, e do Decreto 10.024 de 20 de setembro de 2019.</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a)           Inexecução total ou parcial do contrato;</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b)           Apresentação de documentação falsa;</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c)           Comportamento inidôneo;</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d)           Fraude fiscal;</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e)           Descumprimento de qualquer dos deveres elencados no Edital ou no Contrato.</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9.9. As sanções serão aplicadas sem prejuízo da responsabilidade civil e criminal que possa ser acionada em desfavor da Contratada, conforme infração cometida e prejuízos causados à administração ou a terceiros.</w:t>
      </w:r>
    </w:p>
    <w:p w:rsid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9.10. Para efeito de aplicação de multas, às infrações são atribuídos graus, com percentuais de multa conforme a tabela a seguir, que elenca apenas as principais situações previstas, não eximindo de outras equivalentes que surgirem, conforme o caso:</w:t>
      </w:r>
    </w:p>
    <w:p w:rsidR="00007E58" w:rsidRPr="00E76577" w:rsidRDefault="00007E58" w:rsidP="00E76577">
      <w:pPr>
        <w:ind w:left="120" w:right="120"/>
        <w:jc w:val="both"/>
        <w:rPr>
          <w:rFonts w:ascii="Arial" w:hAnsi="Arial" w:cs="Arial"/>
          <w:bCs/>
          <w:color w:val="000000"/>
          <w:sz w:val="16"/>
          <w:szCs w:val="1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8485"/>
        <w:gridCol w:w="733"/>
        <w:gridCol w:w="1056"/>
      </w:tblGrid>
      <w:tr w:rsidR="00E76577" w:rsidRPr="00E76577" w:rsidTr="00E765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MULTA*</w:t>
            </w:r>
          </w:p>
        </w:tc>
      </w:tr>
      <w:tr w:rsidR="00E76577" w:rsidRPr="00E76577" w:rsidTr="00E765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 xml:space="preserve">Permitir situação que crie a possibilidade ou cause </w:t>
            </w:r>
            <w:proofErr w:type="spellStart"/>
            <w:r w:rsidRPr="00E76577">
              <w:rPr>
                <w:rFonts w:ascii="Arial" w:hAnsi="Arial" w:cs="Arial"/>
                <w:bCs/>
                <w:color w:val="000000"/>
                <w:sz w:val="16"/>
                <w:szCs w:val="16"/>
              </w:rPr>
              <w:t>dano</w:t>
            </w:r>
            <w:proofErr w:type="spellEnd"/>
            <w:r w:rsidRPr="00E76577">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4,0% por dia</w:t>
            </w:r>
          </w:p>
        </w:tc>
      </w:tr>
      <w:tr w:rsidR="00E76577" w:rsidRPr="00E76577" w:rsidTr="00E765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4,0% por dia</w:t>
            </w:r>
          </w:p>
        </w:tc>
      </w:tr>
      <w:tr w:rsidR="00E76577" w:rsidRPr="00E76577" w:rsidTr="00E765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Suspender ou interromper, salvo por motivo de força maior ou caso fortuito, a entrega dos materiais,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3,2% por dia</w:t>
            </w:r>
          </w:p>
        </w:tc>
      </w:tr>
      <w:tr w:rsidR="00E76577" w:rsidRPr="00E76577" w:rsidTr="00E765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3,2% por dia</w:t>
            </w:r>
          </w:p>
        </w:tc>
      </w:tr>
      <w:tr w:rsidR="00E76577" w:rsidRPr="00E76577" w:rsidTr="00E765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Entregar os materiais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0,4% por dia</w:t>
            </w:r>
          </w:p>
        </w:tc>
      </w:tr>
      <w:tr w:rsidR="00E76577" w:rsidRPr="00E76577" w:rsidTr="00E765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Fornecer informação pérfida referente à entrega dos materiais,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0,4% por dia</w:t>
            </w:r>
          </w:p>
        </w:tc>
      </w:tr>
      <w:tr w:rsidR="00E76577" w:rsidRPr="00E76577" w:rsidTr="00E76577">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Para os itens a seguir, deixar de:</w:t>
            </w:r>
          </w:p>
        </w:tc>
      </w:tr>
      <w:tr w:rsidR="00E76577" w:rsidRPr="00E76577" w:rsidTr="00E765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Efetuar o pagamento de seguros, encargos fiscais e sociais, assim como quaisquer despesas diretas e/ou indiretas relacionadas à entrega dos materiais;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3,2% por dia</w:t>
            </w:r>
          </w:p>
        </w:tc>
      </w:tr>
      <w:tr w:rsidR="00E76577" w:rsidRPr="00E76577" w:rsidTr="00E765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Cumprir prazo previamente estabelecido com a fiscalização para fornecimento dos materiais;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0,8% por dia</w:t>
            </w:r>
          </w:p>
        </w:tc>
      </w:tr>
      <w:tr w:rsidR="00E76577" w:rsidRPr="00E76577" w:rsidTr="00E765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0,8% por dia</w:t>
            </w:r>
          </w:p>
        </w:tc>
      </w:tr>
      <w:tr w:rsidR="00E76577" w:rsidRPr="00E76577" w:rsidTr="00E765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Iniciar a entrega dos materiais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0,4% por dia</w:t>
            </w:r>
          </w:p>
        </w:tc>
      </w:tr>
      <w:tr w:rsidR="00E76577" w:rsidRPr="00E76577" w:rsidTr="00E765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0,2% por dia</w:t>
            </w:r>
          </w:p>
        </w:tc>
      </w:tr>
    </w:tbl>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 Incidente sobre o valor inadimplido do contrato.</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9.11. As sanções aqui previstas poderão ser aplicadas concomitantemente, facultada a defesa prévia do interessado, no respectivo processo, no prazo de 05 (cinco) dias úteis.</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9.12. Após 30 (trinta) dias da falta de execução do objeto, será considerada inexecução total do contrato, o que ensejará a rescisão contratual.</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9.13. As sanções de natureza pecuniária serão diretamente descontadas de créditos que eventualmente detenha a CONTRATADA ou efetuada a sua cobrança na forma prevista em lei.</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9.15. A autoridade competente, na aplicação das sanções, levará em consideração a gravidade da conduta do infrator, o caráter educativo da pena, bem como o dano causado à Administração, observado o princípio da proporcionalidade.</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9.16. A sanção será obrigatoriamente registrada no Sistema de Cadastramento Unificado de Fornecedores – SICAF, bem como em sistemas Estaduais.</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9.17.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a) Tenham sofrido condenações definitivas por praticarem, por meio dolosos, fraude fiscal no recolhimento de tributos;</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lastRenderedPageBreak/>
        <w:t>b) Tenham praticado atos ilícitos visando a frustrar os objetivos da licitação;</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c) Demonstrem não possuir idoneidade para contratar com a Administração em virtude de atos ilícitos praticados.</w:t>
      </w:r>
    </w:p>
    <w:p w:rsidR="00E76577" w:rsidRPr="00E76577" w:rsidRDefault="00E76577" w:rsidP="00E76577">
      <w:pPr>
        <w:ind w:left="120" w:right="120"/>
        <w:jc w:val="both"/>
        <w:rPr>
          <w:rFonts w:ascii="Arial" w:hAnsi="Arial" w:cs="Arial"/>
          <w:b/>
          <w:bCs/>
          <w:color w:val="000000"/>
          <w:sz w:val="16"/>
          <w:szCs w:val="16"/>
        </w:rPr>
      </w:pPr>
      <w:r w:rsidRPr="00E76577">
        <w:rPr>
          <w:rFonts w:ascii="Arial" w:hAnsi="Arial" w:cs="Arial"/>
          <w:bCs/>
          <w:color w:val="000000"/>
          <w:sz w:val="16"/>
          <w:szCs w:val="16"/>
        </w:rPr>
        <w:t> </w:t>
      </w:r>
    </w:p>
    <w:p w:rsidR="00E76577" w:rsidRPr="00E76577" w:rsidRDefault="00E76577" w:rsidP="00E76577">
      <w:pPr>
        <w:ind w:left="120" w:right="120"/>
        <w:jc w:val="both"/>
        <w:rPr>
          <w:rFonts w:ascii="Arial" w:hAnsi="Arial" w:cs="Arial"/>
          <w:b/>
          <w:bCs/>
          <w:color w:val="000000"/>
          <w:sz w:val="16"/>
          <w:szCs w:val="16"/>
        </w:rPr>
      </w:pPr>
      <w:r w:rsidRPr="00007E58">
        <w:rPr>
          <w:rFonts w:ascii="Arial" w:hAnsi="Arial" w:cs="Arial"/>
          <w:b/>
          <w:bCs/>
          <w:color w:val="000000"/>
          <w:sz w:val="16"/>
          <w:szCs w:val="16"/>
        </w:rPr>
        <w:t>10. DA UTILIZAÇÃO DA ATA:</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10.2. É facultada aos órgãos s ou entidades municipais, distritais ou estaduais a adesão a ata de registro de preços da Administração Pública Estadual.</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E76577">
        <w:rPr>
          <w:rFonts w:ascii="Arial" w:hAnsi="Arial" w:cs="Arial"/>
          <w:bCs/>
          <w:color w:val="000000"/>
          <w:sz w:val="16"/>
          <w:szCs w:val="16"/>
        </w:rPr>
        <w:t>independente</w:t>
      </w:r>
      <w:proofErr w:type="spellEnd"/>
      <w:r w:rsidRPr="00E76577">
        <w:rPr>
          <w:rFonts w:ascii="Arial" w:hAnsi="Arial" w:cs="Arial"/>
          <w:bCs/>
          <w:color w:val="000000"/>
          <w:sz w:val="16"/>
          <w:szCs w:val="16"/>
        </w:rPr>
        <w:t xml:space="preserve"> do número de órgãos não participantes que aderirem.</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10.6. Caberá ao órgão que se utilizar da ata, verificar a vantagem econômica da adesão a este Registro de Preço.</w:t>
      </w:r>
    </w:p>
    <w:p w:rsidR="00E76577" w:rsidRPr="00E76577" w:rsidRDefault="00E76577" w:rsidP="00E76577">
      <w:pPr>
        <w:ind w:left="120" w:right="120"/>
        <w:jc w:val="both"/>
        <w:rPr>
          <w:rFonts w:ascii="Arial" w:hAnsi="Arial" w:cs="Arial"/>
          <w:b/>
          <w:bCs/>
          <w:color w:val="000000"/>
          <w:sz w:val="16"/>
          <w:szCs w:val="16"/>
        </w:rPr>
      </w:pPr>
      <w:r w:rsidRPr="00E76577">
        <w:rPr>
          <w:rFonts w:ascii="Arial" w:hAnsi="Arial" w:cs="Arial"/>
          <w:b/>
          <w:bCs/>
          <w:color w:val="000000"/>
          <w:sz w:val="16"/>
          <w:szCs w:val="16"/>
        </w:rPr>
        <w:t> </w:t>
      </w:r>
    </w:p>
    <w:p w:rsidR="00E76577" w:rsidRPr="00E76577" w:rsidRDefault="00E76577" w:rsidP="00E76577">
      <w:pPr>
        <w:ind w:left="120" w:right="120"/>
        <w:jc w:val="both"/>
        <w:rPr>
          <w:rFonts w:ascii="Arial" w:hAnsi="Arial" w:cs="Arial"/>
          <w:b/>
          <w:bCs/>
          <w:color w:val="000000"/>
          <w:sz w:val="16"/>
          <w:szCs w:val="16"/>
        </w:rPr>
      </w:pPr>
      <w:r w:rsidRPr="00007E58">
        <w:rPr>
          <w:rFonts w:ascii="Arial" w:hAnsi="Arial" w:cs="Arial"/>
          <w:b/>
          <w:bCs/>
          <w:color w:val="000000"/>
          <w:sz w:val="16"/>
          <w:szCs w:val="16"/>
        </w:rPr>
        <w:t>11. DA ALTERAÇÃO DA ATA DE REGISTRO DE PREÇOS:</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11.4. A ordem de classificação dos fornecedores que aceitarem reduzir seus preços aos valores de mercado observará a classificação original.</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11.5. Quando o preço de mercado tornar-se superior aos preços registrados, e o fornecedor não puder cumprir o compromisso, o órgão gerenciador poderá:</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11.6. Liberar o fornecedor do compromisso assumido, caso a comunicação ocorra antes do pedido de fornecimento, sem aplicação de penalidade se confirmada a veracidade dos motivos e comprovantes;</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11.7. Convocar os demais fornecedores para assegurar igual oportunidade de negociação;</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11.8. Não havendo êxito nas negociações, o órgão gerenciador deverá proceder a revogação do item da ata de registro de preços, adotando as medidas cabíveis para obtenção da contratação mais vantajosa.</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 </w:t>
      </w:r>
    </w:p>
    <w:p w:rsidR="00E76577" w:rsidRPr="00E76577" w:rsidRDefault="00E76577" w:rsidP="00E76577">
      <w:pPr>
        <w:ind w:left="120" w:right="120"/>
        <w:jc w:val="both"/>
        <w:rPr>
          <w:rFonts w:ascii="Arial" w:hAnsi="Arial" w:cs="Arial"/>
          <w:b/>
          <w:bCs/>
          <w:color w:val="000000"/>
          <w:sz w:val="16"/>
          <w:szCs w:val="16"/>
        </w:rPr>
      </w:pPr>
      <w:r w:rsidRPr="00007E58">
        <w:rPr>
          <w:rFonts w:ascii="Arial" w:hAnsi="Arial" w:cs="Arial"/>
          <w:b/>
          <w:bCs/>
          <w:color w:val="000000"/>
          <w:sz w:val="16"/>
          <w:szCs w:val="16"/>
        </w:rPr>
        <w:t>12. DAS OBRIGAÇÕES DA DETENTORA DO REGISTRO:</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12.2. Dispor-se a toda e qualquer fiscalização, no tocante ao fornecimento do produto, assim como ao cumprimento das obrigações previstas na ATA;</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12.6. Respeitar e fazer cumprir a legislação de segurança e saúde no trabalho, previstas nas normas regulamentadoras pertinentes;</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12.10. Todos os impostos e taxas que forem devidos em decorrência das contratações do objeto do Edital correrão por conta exclusiva da contratada;</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  </w:t>
      </w:r>
    </w:p>
    <w:p w:rsidR="00E76577" w:rsidRPr="00E76577" w:rsidRDefault="00E76577" w:rsidP="00E76577">
      <w:pPr>
        <w:ind w:left="120" w:right="120"/>
        <w:jc w:val="both"/>
        <w:rPr>
          <w:rFonts w:ascii="Arial" w:hAnsi="Arial" w:cs="Arial"/>
          <w:b/>
          <w:bCs/>
          <w:color w:val="000000"/>
          <w:sz w:val="16"/>
          <w:szCs w:val="16"/>
        </w:rPr>
      </w:pPr>
      <w:r w:rsidRPr="00007E58">
        <w:rPr>
          <w:rFonts w:ascii="Arial" w:hAnsi="Arial" w:cs="Arial"/>
          <w:b/>
          <w:bCs/>
          <w:color w:val="000000"/>
          <w:sz w:val="16"/>
          <w:szCs w:val="16"/>
        </w:rPr>
        <w:t>13. DAS OBRIGAÇÕES DOS ÓRGÃOS REQUISITANTES:</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13.1. Proporcionar todas as facilidades indispensáveis à boa execução das obrigações contratuais;</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13.2. Rejeitar, no todo ou em parte, os objetos desta Ata entregues em desacordo com as obrigações assumidas pelo fornecedor;</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13.3. Notificar a CONTRATADA de qualquer irregularidade encontrada no fornecimento dos objetos desta Ata;</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13.4. Efetuar o pagamento à(s) contratada(s) de acordo com as condições de preços e prazos estabelecidos no edital e ata de registro de preços</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 xml:space="preserve">13.6. Não haverá </w:t>
      </w:r>
      <w:proofErr w:type="spellStart"/>
      <w:r w:rsidRPr="00E76577">
        <w:rPr>
          <w:rFonts w:ascii="Arial" w:hAnsi="Arial" w:cs="Arial"/>
          <w:bCs/>
          <w:color w:val="000000"/>
          <w:sz w:val="16"/>
          <w:szCs w:val="16"/>
        </w:rPr>
        <w:t>sob-hipótese</w:t>
      </w:r>
      <w:proofErr w:type="spellEnd"/>
      <w:r w:rsidRPr="00E76577">
        <w:rPr>
          <w:rFonts w:ascii="Arial" w:hAnsi="Arial" w:cs="Arial"/>
          <w:bCs/>
          <w:color w:val="000000"/>
          <w:sz w:val="16"/>
          <w:szCs w:val="16"/>
        </w:rPr>
        <w:t xml:space="preserve"> alguma, pagamento antecipado.</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 </w:t>
      </w:r>
    </w:p>
    <w:p w:rsidR="00E76577" w:rsidRPr="00E76577" w:rsidRDefault="00E76577" w:rsidP="00E76577">
      <w:pPr>
        <w:ind w:left="120" w:right="120"/>
        <w:jc w:val="both"/>
        <w:rPr>
          <w:rFonts w:ascii="Arial" w:hAnsi="Arial" w:cs="Arial"/>
          <w:b/>
          <w:bCs/>
          <w:color w:val="000000"/>
          <w:sz w:val="16"/>
          <w:szCs w:val="16"/>
        </w:rPr>
      </w:pPr>
      <w:r w:rsidRPr="00007E58">
        <w:rPr>
          <w:rFonts w:ascii="Arial" w:hAnsi="Arial" w:cs="Arial"/>
          <w:b/>
          <w:bCs/>
          <w:color w:val="000000"/>
          <w:sz w:val="16"/>
          <w:szCs w:val="16"/>
        </w:rPr>
        <w:t>14. DOS ÓRGÃOS PARTICIPANTES:</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14.1. É participante desta ata o seguinte órgão pertencente à Administração Pública do Estado de Rondônia:</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IDEP/RO - Instituto Estadual de Desenvolvimento da Educação Profissional.</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 </w:t>
      </w:r>
    </w:p>
    <w:p w:rsidR="00E76577" w:rsidRPr="00E76577" w:rsidRDefault="00E76577" w:rsidP="00E76577">
      <w:pPr>
        <w:ind w:left="120" w:right="120"/>
        <w:jc w:val="both"/>
        <w:rPr>
          <w:rFonts w:ascii="Arial" w:hAnsi="Arial" w:cs="Arial"/>
          <w:b/>
          <w:bCs/>
          <w:color w:val="000000"/>
          <w:sz w:val="16"/>
          <w:szCs w:val="16"/>
        </w:rPr>
      </w:pPr>
      <w:r w:rsidRPr="00007E58">
        <w:rPr>
          <w:rFonts w:ascii="Arial" w:hAnsi="Arial" w:cs="Arial"/>
          <w:b/>
          <w:bCs/>
          <w:color w:val="000000"/>
          <w:sz w:val="16"/>
          <w:szCs w:val="16"/>
        </w:rPr>
        <w:t>15. DISPOSIÇÕES GERAIS:</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 </w:t>
      </w:r>
    </w:p>
    <w:p w:rsidR="00E76577" w:rsidRPr="00E76577" w:rsidRDefault="00E76577" w:rsidP="00E76577">
      <w:pPr>
        <w:ind w:left="120" w:right="120"/>
        <w:jc w:val="both"/>
        <w:rPr>
          <w:rFonts w:ascii="Arial" w:hAnsi="Arial" w:cs="Arial"/>
          <w:bCs/>
          <w:color w:val="000000"/>
          <w:sz w:val="16"/>
          <w:szCs w:val="16"/>
        </w:rPr>
      </w:pPr>
      <w:r w:rsidRPr="00E76577">
        <w:rPr>
          <w:rFonts w:ascii="Arial" w:hAnsi="Arial" w:cs="Arial"/>
          <w:bCs/>
          <w:color w:val="000000"/>
          <w:sz w:val="16"/>
          <w:szCs w:val="16"/>
        </w:rPr>
        <w:t>        Fica eleito o foro do Município de Porto Velho/RO para dirimir as eventuais controvérsias decorrentes do presente ajuste.</w:t>
      </w:r>
    </w:p>
    <w:p w:rsidR="000B1908" w:rsidRDefault="000B1908" w:rsidP="009D2314">
      <w:pPr>
        <w:ind w:right="47"/>
        <w:jc w:val="both"/>
        <w:rPr>
          <w:rFonts w:ascii="Arial" w:hAnsi="Arial" w:cs="Arial"/>
          <w:bCs/>
          <w:color w:val="000000"/>
          <w:sz w:val="16"/>
          <w:szCs w:val="16"/>
        </w:rPr>
      </w:pPr>
    </w:p>
    <w:p w:rsidR="00007E58" w:rsidRPr="00FE1B9F" w:rsidRDefault="00007E5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79051B">
        <w:rPr>
          <w:rFonts w:ascii="Arial" w:hAnsi="Arial" w:cs="Arial"/>
          <w:b/>
          <w:sz w:val="16"/>
          <w:szCs w:val="16"/>
        </w:rPr>
        <w:t>ISRAEL EVANGELISTA DA SILVA</w:t>
      </w:r>
      <w:r w:rsidRPr="0079051B">
        <w:rPr>
          <w:rFonts w:ascii="Arial" w:hAnsi="Arial" w:cs="Arial"/>
          <w:bCs/>
          <w:sz w:val="16"/>
          <w:szCs w:val="16"/>
        </w:rPr>
        <w:t> </w:t>
      </w:r>
      <w:r w:rsidR="00B81155" w:rsidRPr="0079051B">
        <w:rPr>
          <w:rFonts w:ascii="Arial" w:hAnsi="Arial" w:cs="Arial"/>
          <w:b/>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187082" w:rsidRPr="00187082"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 Interino</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876638" w:rsidRPr="00FE1B9F" w:rsidRDefault="00876638" w:rsidP="009D2314">
      <w:pPr>
        <w:ind w:right="47"/>
        <w:jc w:val="both"/>
        <w:rPr>
          <w:rFonts w:ascii="Arial" w:hAnsi="Arial" w:cs="Arial"/>
          <w:b/>
          <w:bCs/>
          <w:color w:val="000000"/>
          <w:sz w:val="16"/>
          <w:szCs w:val="16"/>
        </w:rPr>
      </w:pPr>
      <w:bookmarkStart w:id="1" w:name="_GoBack"/>
      <w:bookmarkEnd w:id="1"/>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A615EC" w:rsidRDefault="00A615EC" w:rsidP="00526790">
      <w:pPr>
        <w:ind w:right="47"/>
        <w:jc w:val="both"/>
        <w:rPr>
          <w:rFonts w:ascii="Arial" w:hAnsi="Arial" w:cs="Arial"/>
          <w:b/>
          <w:bCs/>
          <w:color w:val="000000"/>
          <w:sz w:val="12"/>
          <w:szCs w:val="12"/>
        </w:rPr>
      </w:pPr>
    </w:p>
    <w:p w:rsidR="00D45053" w:rsidRDefault="00D45053" w:rsidP="00526790">
      <w:pPr>
        <w:ind w:right="47"/>
        <w:jc w:val="both"/>
        <w:rPr>
          <w:rFonts w:ascii="Arial" w:hAnsi="Arial" w:cs="Arial"/>
          <w:b/>
          <w:bCs/>
          <w:color w:val="000000"/>
          <w:sz w:val="12"/>
          <w:szCs w:val="12"/>
        </w:rPr>
      </w:pPr>
    </w:p>
    <w:p w:rsidR="00C50BF7" w:rsidRPr="003A19C4" w:rsidRDefault="00076682" w:rsidP="00526790">
      <w:pPr>
        <w:ind w:right="47"/>
        <w:jc w:val="both"/>
        <w:rPr>
          <w:rFonts w:ascii="Arial" w:hAnsi="Arial" w:cs="Arial"/>
          <w:b/>
          <w:bCs/>
          <w:color w:val="000000"/>
          <w:sz w:val="12"/>
          <w:szCs w:val="12"/>
        </w:rPr>
      </w:pPr>
      <w:r>
        <w:rPr>
          <w:rFonts w:ascii="Arial" w:hAnsi="Arial" w:cs="Arial"/>
          <w:b/>
          <w:bCs/>
          <w:color w:val="000000"/>
          <w:sz w:val="12"/>
          <w:szCs w:val="12"/>
        </w:rPr>
        <w:t>ST</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64519D1"/>
    <w:multiLevelType w:val="multilevel"/>
    <w:tmpl w:val="38ACA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AF155C9"/>
    <w:multiLevelType w:val="multilevel"/>
    <w:tmpl w:val="A5D44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1BB1B17"/>
    <w:multiLevelType w:val="multilevel"/>
    <w:tmpl w:val="0BB0A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A7B41D5"/>
    <w:multiLevelType w:val="multilevel"/>
    <w:tmpl w:val="721E4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66D7E7E"/>
    <w:multiLevelType w:val="multilevel"/>
    <w:tmpl w:val="E6F010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7CF6450"/>
    <w:multiLevelType w:val="multilevel"/>
    <w:tmpl w:val="370E6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9391005"/>
    <w:multiLevelType w:val="multilevel"/>
    <w:tmpl w:val="A98E4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7"/>
    <w:lvlOverride w:ilvl="0">
      <w:startOverride w:val="2"/>
    </w:lvlOverride>
  </w:num>
  <w:num w:numId="3">
    <w:abstractNumId w:val="11"/>
    <w:lvlOverride w:ilvl="0">
      <w:startOverride w:val="3"/>
    </w:lvlOverride>
  </w:num>
  <w:num w:numId="4">
    <w:abstractNumId w:val="34"/>
    <w:lvlOverride w:ilvl="0">
      <w:startOverride w:val="4"/>
    </w:lvlOverride>
  </w:num>
  <w:num w:numId="5">
    <w:abstractNumId w:val="42"/>
    <w:lvlOverride w:ilvl="0">
      <w:startOverride w:val="5"/>
    </w:lvlOverride>
  </w:num>
  <w:num w:numId="6">
    <w:abstractNumId w:val="22"/>
    <w:lvlOverride w:ilvl="0">
      <w:startOverride w:val="6"/>
    </w:lvlOverride>
  </w:num>
  <w:num w:numId="7">
    <w:abstractNumId w:val="14"/>
    <w:lvlOverride w:ilvl="0">
      <w:startOverride w:val="7"/>
    </w:lvlOverride>
  </w:num>
  <w:num w:numId="8">
    <w:abstractNumId w:val="12"/>
    <w:lvlOverride w:ilvl="0">
      <w:startOverride w:val="8"/>
    </w:lvlOverride>
  </w:num>
  <w:num w:numId="9">
    <w:abstractNumId w:val="1"/>
    <w:lvlOverride w:ilvl="0">
      <w:startOverride w:val="9"/>
    </w:lvlOverride>
  </w:num>
  <w:num w:numId="10">
    <w:abstractNumId w:val="46"/>
  </w:num>
  <w:num w:numId="11">
    <w:abstractNumId w:val="20"/>
    <w:lvlOverride w:ilvl="0">
      <w:startOverride w:val="2"/>
    </w:lvlOverride>
  </w:num>
  <w:num w:numId="12">
    <w:abstractNumId w:val="45"/>
    <w:lvlOverride w:ilvl="0">
      <w:startOverride w:val="3"/>
    </w:lvlOverride>
  </w:num>
  <w:num w:numId="13">
    <w:abstractNumId w:val="13"/>
    <w:lvlOverride w:ilvl="0">
      <w:startOverride w:val="4"/>
    </w:lvlOverride>
  </w:num>
  <w:num w:numId="14">
    <w:abstractNumId w:val="2"/>
    <w:lvlOverride w:ilvl="0">
      <w:startOverride w:val="5"/>
    </w:lvlOverride>
  </w:num>
  <w:num w:numId="15">
    <w:abstractNumId w:val="44"/>
    <w:lvlOverride w:ilvl="0">
      <w:startOverride w:val="6"/>
    </w:lvlOverride>
  </w:num>
  <w:num w:numId="16">
    <w:abstractNumId w:val="30"/>
    <w:lvlOverride w:ilvl="0">
      <w:startOverride w:val="7"/>
    </w:lvlOverride>
  </w:num>
  <w:num w:numId="17">
    <w:abstractNumId w:val="48"/>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7"/>
    <w:lvlOverride w:ilvl="0">
      <w:startOverride w:val="12"/>
    </w:lvlOverride>
  </w:num>
  <w:num w:numId="22">
    <w:abstractNumId w:val="18"/>
    <w:lvlOverride w:ilvl="0">
      <w:startOverride w:val="13"/>
    </w:lvlOverride>
  </w:num>
  <w:num w:numId="23">
    <w:abstractNumId w:val="8"/>
    <w:lvlOverride w:ilvl="0">
      <w:startOverride w:val="14"/>
    </w:lvlOverride>
  </w:num>
  <w:num w:numId="24">
    <w:abstractNumId w:val="29"/>
    <w:lvlOverride w:ilvl="0">
      <w:startOverride w:val="15"/>
    </w:lvlOverride>
  </w:num>
  <w:num w:numId="25">
    <w:abstractNumId w:val="7"/>
    <w:lvlOverride w:ilvl="0">
      <w:startOverride w:val="16"/>
    </w:lvlOverride>
  </w:num>
  <w:num w:numId="26">
    <w:abstractNumId w:val="28"/>
    <w:lvlOverride w:ilvl="0">
      <w:startOverride w:val="17"/>
    </w:lvlOverride>
  </w:num>
  <w:num w:numId="27">
    <w:abstractNumId w:val="38"/>
    <w:lvlOverride w:ilvl="0">
      <w:startOverride w:val="18"/>
    </w:lvlOverride>
  </w:num>
  <w:num w:numId="28">
    <w:abstractNumId w:val="32"/>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7"/>
    <w:lvlOverride w:ilvl="0">
      <w:startOverride w:val="23"/>
    </w:lvlOverride>
  </w:num>
  <w:num w:numId="33">
    <w:abstractNumId w:val="6"/>
  </w:num>
  <w:num w:numId="34">
    <w:abstractNumId w:val="17"/>
    <w:lvlOverride w:ilvl="0">
      <w:startOverride w:val="2"/>
    </w:lvlOverride>
  </w:num>
  <w:num w:numId="35">
    <w:abstractNumId w:val="35"/>
    <w:lvlOverride w:ilvl="0">
      <w:startOverride w:val="3"/>
    </w:lvlOverride>
  </w:num>
  <w:num w:numId="36">
    <w:abstractNumId w:val="36"/>
    <w:lvlOverride w:ilvl="0">
      <w:startOverride w:val="4"/>
    </w:lvlOverride>
  </w:num>
  <w:num w:numId="37">
    <w:abstractNumId w:val="15"/>
    <w:lvlOverride w:ilvl="0">
      <w:startOverride w:val="5"/>
    </w:lvlOverride>
  </w:num>
  <w:num w:numId="38">
    <w:abstractNumId w:val="25"/>
    <w:lvlOverride w:ilvl="0">
      <w:startOverride w:val="6"/>
    </w:lvlOverride>
  </w:num>
  <w:num w:numId="39">
    <w:abstractNumId w:val="19"/>
    <w:lvlOverride w:ilvl="0">
      <w:startOverride w:val="7"/>
    </w:lvlOverride>
  </w:num>
  <w:num w:numId="40">
    <w:abstractNumId w:val="24"/>
    <w:lvlOverride w:ilvl="0">
      <w:startOverride w:val="8"/>
    </w:lvlOverride>
  </w:num>
  <w:num w:numId="41">
    <w:abstractNumId w:val="43"/>
    <w:lvlOverride w:ilvl="0">
      <w:startOverride w:val="9"/>
    </w:lvlOverride>
  </w:num>
  <w:num w:numId="42">
    <w:abstractNumId w:val="10"/>
  </w:num>
  <w:num w:numId="43">
    <w:abstractNumId w:val="16"/>
    <w:lvlOverride w:ilvl="0">
      <w:startOverride w:val="2"/>
    </w:lvlOverride>
  </w:num>
  <w:num w:numId="44">
    <w:abstractNumId w:val="26"/>
    <w:lvlOverride w:ilvl="0">
      <w:startOverride w:val="3"/>
    </w:lvlOverride>
  </w:num>
  <w:num w:numId="45">
    <w:abstractNumId w:val="21"/>
    <w:lvlOverride w:ilvl="0">
      <w:startOverride w:val="4"/>
    </w:lvlOverride>
  </w:num>
  <w:num w:numId="46">
    <w:abstractNumId w:val="39"/>
    <w:lvlOverride w:ilvl="0">
      <w:startOverride w:val="5"/>
    </w:lvlOverride>
  </w:num>
  <w:num w:numId="47">
    <w:abstractNumId w:val="31"/>
    <w:lvlOverride w:ilvl="0">
      <w:startOverride w:val="6"/>
    </w:lvlOverride>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07E5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668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621"/>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4C1"/>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51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809"/>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5053"/>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76577"/>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0584889">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2852307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003018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9F6FAD-0926-40B1-9F4D-27493C251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3350</Words>
  <Characters>18991</Characters>
  <Application>Microsoft Office Word</Application>
  <DocSecurity>0</DocSecurity>
  <Lines>158</Lines>
  <Paragraphs>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4</cp:revision>
  <cp:lastPrinted>2019-12-30T17:05:00Z</cp:lastPrinted>
  <dcterms:created xsi:type="dcterms:W3CDTF">2021-01-29T15:35:00Z</dcterms:created>
  <dcterms:modified xsi:type="dcterms:W3CDTF">2021-01-29T15:41:00Z</dcterms:modified>
</cp:coreProperties>
</file>