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372/2020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625/2020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0009.219597/2020-36</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de material de consumo (cimento),  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w:t>
      </w:r>
      <w:r w:rsidDel="00000000" w:rsidR="00000000" w:rsidRPr="00000000">
        <w:rPr>
          <w:rFonts w:ascii="Arial" w:cs="Arial" w:eastAsia="Arial" w:hAnsi="Arial"/>
          <w:color w:val="000000"/>
          <w:sz w:val="16"/>
          <w:szCs w:val="16"/>
          <w:rtl w:val="0"/>
        </w:rPr>
        <w:t xml:space="preserve">futura e eventual </w:t>
      </w:r>
      <w:r w:rsidDel="00000000" w:rsidR="00000000" w:rsidRPr="00000000">
        <w:rPr>
          <w:rFonts w:ascii="Arial" w:cs="Arial" w:eastAsia="Arial" w:hAnsi="Arial"/>
          <w:sz w:val="16"/>
          <w:szCs w:val="16"/>
          <w:rtl w:val="0"/>
        </w:rPr>
        <w:t xml:space="preserve">aquisições de material de consumo (cimento),  a pedido do Departamento de Estradas, Rodagens, Infraestrutura e Serviços Públicos DER-RO.</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A entrega será parcial em até 30 (trinta) dias, contados a partir do recebimento pela Contratada da Ordem de Serviço ou da nota de Empenho, o que ocorrer primeiro.</w:t>
      </w:r>
    </w:p>
    <w:p w:rsidR="00000000" w:rsidDel="00000000" w:rsidP="00000000" w:rsidRDefault="00000000" w:rsidRPr="00000000" w14:paraId="0000002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6.4.DO LOCAL DE ENTREGA:  Almoxarifado do DER/RO - Av. Rio Madeira Nº 3056 - Bairro: Flodoaldo Pontes Pinto - CEP: 76820408 - Ao Lado Do Porto Velho Shopping, em Porto Velho-RO – Contato:99209-2900. Horário de atendimento: das 07h30min as 13h30min, de segunda a sexta - feira. </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Pela Inexecução total ou parcial do objeto, o DER-RO poderá, garantida a prévia defesa, aplicar à empresa contratada as seguintes sanções:</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Advertência, que será aplicada por meio de notificação, estabelecendo o prazo de 05 (cinco) dias úteis para que a empresa contratada apresente justificativas para o atraso, que só serão aceitas mediante crivo da Administração;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9.1.2.1. A multa moratória será aplicada a partir do 1º (primeiro) dia útil da inadimplência, contado da data definida para o regular cumprimento da obrigação;</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Multa de 10% (dez por cento) sobre o valor do produto não entregue, no caso de inexecução parcial, sem embargo de indenização dos prejuízos porventura causados ao DER/RO pela execução parcial do contrato;</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Multa de 10% (dez por cento) sobre o valor total do contrato, no caso de sua inexecução total, sem embargo de indenização dos prejuízos porventura causados ao DER/RO;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Multa de 10% (dez por cento) sobre o valor do produto não entregue, pela recusa injustificada na substituição de material defeituoso no prazo estabelecido neste Termo de Referência;</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A multa prevista nos subitens 9.1.2, 9.1.3 e 9.1.8 poderão ser aplicadas isoladas ou em conjunto com as previstas nos subitens 9.1.5 e 9.1.6;</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41">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4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4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4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4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5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5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6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6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6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6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6A">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DER </w:t>
      </w:r>
      <w:r w:rsidDel="00000000" w:rsidR="00000000" w:rsidRPr="00000000">
        <w:rPr>
          <w:rFonts w:ascii="Arial" w:cs="Arial" w:eastAsia="Arial" w:hAnsi="Arial"/>
          <w:sz w:val="16"/>
          <w:szCs w:val="16"/>
          <w:rtl w:val="0"/>
        </w:rPr>
        <w:t xml:space="preserve">– Departamento de Estradas, Rodagens, Infraestrutura e Serviços Públicos.</w:t>
      </w:r>
    </w:p>
    <w:p w:rsidR="00000000" w:rsidDel="00000000" w:rsidP="00000000" w:rsidRDefault="00000000" w:rsidRPr="00000000" w14:paraId="0000006B">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6C">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7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7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7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7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C">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D">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EY5wPc5GhuvvNqc+qfIqvK+pig==">AMUW2mXuhkTITm3EJ9FKJiNf7WGWVtVd+7yerFTgqBMkUeFnu110jKki3KQFz6JzRgy1DQgHK7w2mTphxBclPyPt0UpOnbVUZdsCt4QUBcljUQOnKafbzDwFpYXYY/YVGPtER3Ob47o8Pbvniv2aioaRP6qXAjpdgQ==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