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3"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369/2020</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054/2020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w:t>
      </w:r>
      <w:r w:rsidDel="00000000" w:rsidR="00000000" w:rsidRPr="00000000">
        <w:rPr>
          <w:rFonts w:ascii="Arial" w:cs="Arial" w:eastAsia="Arial" w:hAnsi="Arial"/>
          <w:sz w:val="16"/>
          <w:szCs w:val="16"/>
          <w:rtl w:val="0"/>
        </w:rPr>
        <w:t xml:space="preserve">Nº 0029.488533/2019-10</w:t>
      </w:r>
      <w:r w:rsidDel="00000000" w:rsidR="00000000" w:rsidRPr="00000000">
        <w:rPr>
          <w:rtl w:val="0"/>
        </w:rPr>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w:t>
      </w:r>
      <w:r w:rsidDel="00000000" w:rsidR="00000000" w:rsidRPr="00000000">
        <w:rPr>
          <w:rFonts w:ascii="Arial" w:cs="Arial" w:eastAsia="Arial" w:hAnsi="Arial"/>
          <w:sz w:val="16"/>
          <w:szCs w:val="16"/>
          <w:rtl w:val="0"/>
        </w:rPr>
        <w:t xml:space="preserve">da SUPEL, Senhor Márcio Rogério Gabriel e a(s) empresa(s) qualificada(s) no Anexo Único desta Ata, resolvem </w:t>
      </w:r>
      <w:r w:rsidDel="00000000" w:rsidR="00000000" w:rsidRPr="00000000">
        <w:rPr>
          <w:rFonts w:ascii="Arial" w:cs="Arial" w:eastAsia="Arial" w:hAnsi="Arial"/>
          <w:b w:val="1"/>
          <w:sz w:val="16"/>
          <w:szCs w:val="16"/>
          <w:rtl w:val="0"/>
        </w:rPr>
        <w:t xml:space="preserve">REGISTRAR O PREÇO</w:t>
      </w:r>
      <w:r w:rsidDel="00000000" w:rsidR="00000000" w:rsidRPr="00000000">
        <w:rPr>
          <w:rFonts w:ascii="Arial" w:cs="Arial" w:eastAsia="Arial" w:hAnsi="Arial"/>
          <w:sz w:val="16"/>
          <w:szCs w:val="16"/>
          <w:rtl w:val="0"/>
        </w:rPr>
        <w:t xml:space="preserve"> para futura e eventual aquisição de livros paradidáticos e material pedagógico, para atendimento de eventos a serem promovidos pela Secretaria de Estado da Educação - SEDUC, no município de PORTO VELHO,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r w:rsidDel="00000000" w:rsidR="00000000" w:rsidRPr="00000000">
        <w:rPr>
          <w:rtl w:val="0"/>
        </w:rPr>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sz w:val="16"/>
          <w:szCs w:val="16"/>
          <w:rtl w:val="0"/>
        </w:rPr>
        <w:t xml:space="preserve">REGISTRO DE PREÇO para futura e eventual aquisição de livros paradidáticos e material pedagógico, para atendimento de eventos a serem promovidos pela Secretaria de Estado da Educação - SEDUC, no município de PORTO VELHO.</w:t>
      </w:r>
      <w:r w:rsidDel="00000000" w:rsidR="00000000" w:rsidRPr="00000000">
        <w:rPr>
          <w:rtl w:val="0"/>
        </w:rPr>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 DE 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O prazo de entrega é de até </w:t>
      </w:r>
      <w:r w:rsidDel="00000000" w:rsidR="00000000" w:rsidRPr="00000000">
        <w:rPr>
          <w:rFonts w:ascii="Arial" w:cs="Arial" w:eastAsia="Arial" w:hAnsi="Arial"/>
          <w:b w:val="1"/>
          <w:sz w:val="16"/>
          <w:szCs w:val="16"/>
          <w:rtl w:val="0"/>
        </w:rPr>
        <w:t xml:space="preserve">30 (trinta)</w:t>
      </w:r>
      <w:r w:rsidDel="00000000" w:rsidR="00000000" w:rsidRPr="00000000">
        <w:rPr>
          <w:rFonts w:ascii="Arial" w:cs="Arial" w:eastAsia="Arial" w:hAnsi="Arial"/>
          <w:sz w:val="16"/>
          <w:szCs w:val="16"/>
          <w:rtl w:val="0"/>
        </w:rPr>
        <w:t xml:space="preserve"> dias corridos, contados a partir do primeiro dia útil após o recebimento da Nota de Empenho – NE, expedida pelo órgão solicitante.</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60" w:firstLine="0"/>
        <w:jc w:val="left"/>
        <w:rPr>
          <w:rFonts w:ascii="Arial" w:cs="Arial" w:eastAsia="Arial" w:hAnsi="Arial"/>
          <w:sz w:val="16"/>
          <w:szCs w:val="16"/>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6.4.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 LOCAL DE </w:t>
      </w:r>
      <w:r w:rsidDel="00000000" w:rsidR="00000000" w:rsidRPr="00000000">
        <w:rPr>
          <w:rFonts w:ascii="Arial" w:cs="Arial" w:eastAsia="Arial" w:hAnsi="Arial"/>
          <w:b w:val="1"/>
          <w:sz w:val="16"/>
          <w:szCs w:val="16"/>
          <w:rtl w:val="0"/>
        </w:rPr>
        <w:t xml:space="preserve">ENTREGA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sz w:val="16"/>
          <w:szCs w:val="16"/>
          <w:rtl w:val="0"/>
        </w:rPr>
        <w:t xml:space="preserve"> Os materiais deverão ser entregues na Gerência de Almoxarifado e Patrimônio da Secretaria de Estado da Educação – GAP/SEDUC, na Rua dos Imigrantes, nº 1699, Bairro São Sebastião II, ao lado do IDARON, em Porto Velho-RO, de segunda à sexta-feira, no horário das 07h30m às 13h30min, mediante prévio agendamento junto ao GAP/SEDUC, pelos telefones: (69) 3216-5901 e (69) 3216-5923.</w:t>
      </w:r>
      <w:r w:rsidDel="00000000" w:rsidR="00000000" w:rsidRPr="00000000">
        <w:rPr>
          <w:rtl w:val="0"/>
        </w:rPr>
      </w:r>
    </w:p>
    <w:p w:rsidR="00000000" w:rsidDel="00000000" w:rsidP="00000000" w:rsidRDefault="00000000" w:rsidRPr="00000000" w14:paraId="0000002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Além daquelas determinadas por leis, decretos, regulamentos e demais dispositivos legais, a CONTRATADA estará sujeita as sanções definidas neste Termo de Referência.</w:t>
      </w:r>
    </w:p>
    <w:p w:rsidR="00000000" w:rsidDel="00000000" w:rsidP="00000000" w:rsidRDefault="00000000" w:rsidRPr="00000000" w14:paraId="0000003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Sem prejuízo das sanções cominadas no art. 87, I, III e IV, da Lei nº 8.666/93, pela inexecução total ou parcial do instrumento de contrato, a Contratante poderá, garantida a prévia e ampla defesa, aplicar à Contratada multa (Tabela – Item 9.16), sobre a parcela inadimplida do contrato.</w:t>
      </w:r>
    </w:p>
    <w:p w:rsidR="00000000" w:rsidDel="00000000" w:rsidP="00000000" w:rsidRDefault="00000000" w:rsidRPr="00000000" w14:paraId="0000003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Se a adjudicatária se recusar a retirar o instrumento contratual injustificadamente ou se não apresentar situação regular na ocasião dos recebimentos, garantida a prévia e ampla defesa, aplicar à Contratada multa de até 10% (dez por cento) sobre o valor adjudicado.</w:t>
      </w:r>
    </w:p>
    <w:p w:rsidR="00000000" w:rsidDel="00000000" w:rsidP="00000000" w:rsidRDefault="00000000" w:rsidRPr="00000000" w14:paraId="0000003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rsidR="00000000" w:rsidDel="00000000" w:rsidP="00000000" w:rsidRDefault="00000000" w:rsidRPr="00000000" w14:paraId="00000036">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000000" w:rsidDel="00000000" w:rsidP="00000000" w:rsidRDefault="00000000" w:rsidRPr="00000000" w14:paraId="00000037">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multas previstas nesta seção não eximem a adjudicatária ou contratada da reparação dos eventuais danos, perdas ou prejuízos que seu ato punível venha causar à Administração.</w:t>
      </w:r>
    </w:p>
    <w:p w:rsidR="00000000" w:rsidDel="00000000" w:rsidP="00000000" w:rsidRDefault="00000000" w:rsidRPr="00000000" w14:paraId="0000003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00000" w:rsidDel="00000000" w:rsidP="00000000" w:rsidRDefault="00000000" w:rsidRPr="00000000" w14:paraId="0000003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9.8.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9.9. São exemplos de infração administrativa penalizáveis, nos termos da Lei nº 8.666, de 1993, da Lei nº 10.520, de 2002, dos Decretos Estaduais nº 12.205/06 e 12.234/06 (Pregão Eletrônico e Presencial):</w:t>
      </w:r>
    </w:p>
    <w:p w:rsidR="00000000" w:rsidDel="00000000" w:rsidP="00000000" w:rsidRDefault="00000000" w:rsidRPr="00000000" w14:paraId="0000003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9.10. Inexecução total ou parcial do contrato;</w:t>
      </w:r>
    </w:p>
    <w:p w:rsidR="00000000" w:rsidDel="00000000" w:rsidP="00000000" w:rsidRDefault="00000000" w:rsidRPr="00000000" w14:paraId="0000003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Apresentação de documentação falsa;</w:t>
      </w:r>
    </w:p>
    <w:p w:rsidR="00000000" w:rsidDel="00000000" w:rsidP="00000000" w:rsidRDefault="00000000" w:rsidRPr="00000000" w14:paraId="0000003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Comportamento inidôneo;</w:t>
      </w:r>
    </w:p>
    <w:p w:rsidR="00000000" w:rsidDel="00000000" w:rsidP="00000000" w:rsidRDefault="00000000" w:rsidRPr="00000000" w14:paraId="0000003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Fraude fiscal;</w:t>
      </w:r>
    </w:p>
    <w:p w:rsidR="00000000" w:rsidDel="00000000" w:rsidP="00000000" w:rsidRDefault="00000000" w:rsidRPr="00000000" w14:paraId="0000003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Descumprimento de qualquer dos deveres elencados no Edital ou no Contrato.</w:t>
      </w:r>
    </w:p>
    <w:p w:rsidR="00000000" w:rsidDel="00000000" w:rsidP="00000000" w:rsidRDefault="00000000" w:rsidRPr="00000000" w14:paraId="0000004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As sanções serão aplicadas sem prejuízo da responsabilidade civil e criminal que possa ser acionada em desfavor da Contratada, conforme infração cometida e prejuízos causados à administração ou a terceiros.</w:t>
      </w:r>
    </w:p>
    <w:p w:rsidR="00000000" w:rsidDel="00000000" w:rsidP="00000000" w:rsidRDefault="00000000" w:rsidRPr="00000000" w14:paraId="0000004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Para efeito de aplicação de multas, às infrações são atribuídos graus, com percentuais de multa conforme a tabela a seguir, que elenca apenas as principais situações previstas, não eximindo de outras equivalentes que surgirem, conforme o caso:</w:t>
      </w:r>
    </w:p>
    <w:tbl>
      <w:tblPr>
        <w:tblStyle w:val="Table1"/>
        <w:tblW w:w="9695.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770"/>
        <w:gridCol w:w="7220"/>
        <w:gridCol w:w="800"/>
        <w:gridCol w:w="905"/>
        <w:tblGridChange w:id="0">
          <w:tblGrid>
            <w:gridCol w:w="770"/>
            <w:gridCol w:w="7220"/>
            <w:gridCol w:w="800"/>
            <w:gridCol w:w="905"/>
          </w:tblGrid>
        </w:tblGridChange>
      </w:tblGrid>
      <w:tr>
        <w:trPr>
          <w:trHeight w:val="770" w:hRule="atLeast"/>
        </w:trPr>
        <w:tc>
          <w:tcP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 (*)</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a entrega incompleta, paliativo substitutivo como por caráter permanente, ou deixar de providenciar recomposição complementar; por ocorrência.</w:t>
            </w:r>
          </w:p>
        </w:tc>
        <w:tc>
          <w:tcP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as determinações feitas pela FISCALIZAÇÃO, sem motivo justificado; por ocorrência;</w:t>
            </w:r>
          </w:p>
        </w:tc>
        <w:tc>
          <w:tcP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fornecimentos dos bens adquiridos, por dia e por unidade de atendimento;</w:t>
            </w:r>
          </w:p>
        </w:tc>
        <w:tc>
          <w:tcP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1025" w:hRule="atLeast"/>
        </w:trPr>
        <w:tc>
          <w:tcP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danos físico, lesão corporal ou consequências letais; por ocorrência.</w:t>
            </w:r>
          </w:p>
        </w:tc>
        <w:tc>
          <w:tcP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500" w:hRule="atLeast"/>
        </w:trPr>
        <w:tc>
          <w:tcP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Inexecução total do contrato;</w:t>
            </w:r>
          </w:p>
        </w:tc>
        <w:tc>
          <w:tcP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10 %</w:t>
            </w:r>
          </w:p>
        </w:tc>
      </w:tr>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a entrega nos prazos estabelecidos, observados os limites mínimos estabelecidos por este Contrato; por item,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sua culpa;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Termo de Referência e seus anexos, mesmo que não previstos nesta tabela de multas, após reincidência formalmente notificada pela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2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bl>
    <w:p w:rsidR="00000000" w:rsidDel="00000000" w:rsidP="00000000" w:rsidRDefault="00000000" w:rsidRPr="00000000" w14:paraId="00000076">
      <w:pPr>
        <w:ind w:left="60" w:right="60" w:firstLine="0"/>
        <w:jc w:val="both"/>
        <w:rPr>
          <w:rFonts w:ascii="Arial" w:cs="Arial" w:eastAsia="Arial" w:hAnsi="Arial"/>
          <w:b w:val="1"/>
          <w:i w:val="1"/>
          <w:sz w:val="16"/>
          <w:szCs w:val="16"/>
        </w:rPr>
      </w:pPr>
      <w:r w:rsidDel="00000000" w:rsidR="00000000" w:rsidRPr="00000000">
        <w:rPr>
          <w:rFonts w:ascii="Arial" w:cs="Arial" w:eastAsia="Arial" w:hAnsi="Arial"/>
          <w:b w:val="1"/>
          <w:i w:val="1"/>
          <w:sz w:val="16"/>
          <w:szCs w:val="16"/>
          <w:rtl w:val="0"/>
        </w:rPr>
        <w:t xml:space="preserve">(*) Incide sobre a parte inadimplida.</w:t>
      </w:r>
    </w:p>
    <w:p w:rsidR="00000000" w:rsidDel="00000000" w:rsidP="00000000" w:rsidRDefault="00000000" w:rsidRPr="00000000" w14:paraId="00000077">
      <w:pPr>
        <w:ind w:left="60" w:right="60" w:firstLine="0"/>
        <w:jc w:val="cente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78">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9.17.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79">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9.18. Após 30 (trinta) dias da falta de execução do objeto, será considerada inexecução total do contrato, o que ensejará a rescisão contratual.</w:t>
      </w:r>
    </w:p>
    <w:p w:rsidR="00000000" w:rsidDel="00000000" w:rsidP="00000000" w:rsidRDefault="00000000" w:rsidRPr="00000000" w14:paraId="0000007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9.19.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7B">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9.20.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000000" w:rsidDel="00000000" w:rsidP="00000000" w:rsidRDefault="00000000" w:rsidRPr="00000000" w14:paraId="0000007C">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9.21. A autoridade competente, na aplicação das sanções, levará em consideração a gravidade da conduta do infrator, o caráter educativo da ena, bem como o dano causado à Administração, observado o princípio da proporcionalidade.</w:t>
      </w:r>
    </w:p>
    <w:p w:rsidR="00000000" w:rsidDel="00000000" w:rsidP="00000000" w:rsidRDefault="00000000" w:rsidRPr="00000000" w14:paraId="0000007D">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9.22. A sanção será obrigatoriamente registrada no Sistema de Cadastramento Unificado de Fornecedores - SICAF, bem como em sistemas Estaduais.</w:t>
      </w:r>
    </w:p>
    <w:p w:rsidR="00000000" w:rsidDel="00000000" w:rsidP="00000000" w:rsidRDefault="00000000" w:rsidRPr="00000000" w14:paraId="0000007E">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9.23.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000000" w:rsidDel="00000000" w:rsidP="00000000" w:rsidRDefault="00000000" w:rsidRPr="00000000" w14:paraId="0000007F">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9.24. Tenham sofrido condenações definitivas por praticarem, por meio dolosos, fraude fiscal no recolhimento de tributos;</w:t>
      </w:r>
    </w:p>
    <w:p w:rsidR="00000000" w:rsidDel="00000000" w:rsidP="00000000" w:rsidRDefault="00000000" w:rsidRPr="00000000" w14:paraId="00000080">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9.25. Tenham praticado atos ilícitos visando a frustrar os objetivos da licitação;</w:t>
      </w:r>
    </w:p>
    <w:p w:rsidR="00000000" w:rsidDel="00000000" w:rsidP="00000000" w:rsidRDefault="00000000" w:rsidRPr="00000000" w14:paraId="00000081">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9.26. Demonstrem não possuir idoneidade para contratar com a Administração em virtude de atos ilícitos praticados.</w:t>
      </w:r>
    </w:p>
    <w:p w:rsidR="00000000" w:rsidDel="00000000" w:rsidP="00000000" w:rsidRDefault="00000000" w:rsidRPr="00000000" w14:paraId="00000082">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9.27. 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000000" w:rsidDel="00000000" w:rsidP="00000000" w:rsidRDefault="00000000" w:rsidRPr="00000000" w14:paraId="00000083">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9.28. Na hipótese de apresentar documentação inverossímil ou de cometer fraude, o licitante poderá sofrer sem prejuízo da comunicação do ocorrido ao Ministério Público, quaisquer das sanções previstas, que poderão ser aplicadas cumulativamente.</w:t>
      </w:r>
    </w:p>
    <w:p w:rsidR="00000000" w:rsidDel="00000000" w:rsidP="00000000" w:rsidRDefault="00000000" w:rsidRPr="00000000" w14:paraId="00000084">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9.29. Nenhuma sanção será aplicada sem o devido processo administrativo, que prevê defesa prévia do interessado e recurso nos prazos definidos em Lei, sendo-lhe franqueada vista ao processo.</w:t>
      </w:r>
    </w:p>
    <w:p w:rsidR="00000000" w:rsidDel="00000000" w:rsidP="00000000" w:rsidRDefault="00000000" w:rsidRPr="00000000" w14:paraId="00000085">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9.30. Tratando-se de sanção do art. 7° da Lei do Pregão, os seus efeitos recaem apenas na esfera administrativa do órgão que a aplicou".</w:t>
      </w:r>
      <w:r w:rsidDel="00000000" w:rsidR="00000000" w:rsidRPr="00000000">
        <w:rPr>
          <w:rtl w:val="0"/>
        </w:rPr>
      </w:r>
    </w:p>
    <w:p w:rsidR="00000000" w:rsidDel="00000000" w:rsidP="00000000" w:rsidRDefault="00000000" w:rsidRPr="00000000" w14:paraId="00000086">
      <w:pPr>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87">
      <w:pPr>
        <w:jc w:val="both"/>
        <w:rPr>
          <w:rFonts w:ascii="Arial" w:cs="Arial" w:eastAsia="Arial" w:hAnsi="Arial"/>
          <w:sz w:val="16"/>
          <w:szCs w:val="16"/>
        </w:rPr>
      </w:pPr>
      <w:r w:rsidDel="00000000" w:rsidR="00000000" w:rsidRPr="00000000">
        <w:rPr>
          <w:rFonts w:ascii="Arial" w:cs="Arial" w:eastAsia="Arial" w:hAnsi="Arial"/>
          <w:b w:val="1"/>
          <w:color w:val="000000"/>
          <w:sz w:val="16"/>
          <w:szCs w:val="16"/>
          <w:rtl w:val="0"/>
        </w:rPr>
        <w:t xml:space="preserve">10. DA UTILIZAÇÃO DA ATA </w:t>
      </w:r>
      <w:r w:rsidDel="00000000" w:rsidR="00000000" w:rsidRPr="00000000">
        <w:rPr>
          <w:rtl w:val="0"/>
        </w:rPr>
      </w:r>
    </w:p>
    <w:p w:rsidR="00000000" w:rsidDel="00000000" w:rsidP="00000000" w:rsidRDefault="00000000" w:rsidRPr="00000000" w14:paraId="00000088">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89">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8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8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8F">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 o órgão gerenciador poderá:</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99">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9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9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9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9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A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A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A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A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A4">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A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A6">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A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A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A9">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AA">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AB">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AF">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SEDUC</w:t>
      </w:r>
      <w:r w:rsidDel="00000000" w:rsidR="00000000" w:rsidRPr="00000000">
        <w:rPr>
          <w:rFonts w:ascii="Arial" w:cs="Arial" w:eastAsia="Arial" w:hAnsi="Arial"/>
          <w:sz w:val="16"/>
          <w:szCs w:val="16"/>
          <w:rtl w:val="0"/>
        </w:rPr>
        <w:t xml:space="preserve"> – Secretaria de Estado da Educação.</w:t>
      </w:r>
      <w:r w:rsidDel="00000000" w:rsidR="00000000" w:rsidRPr="00000000">
        <w:rPr>
          <w:rtl w:val="0"/>
        </w:rPr>
      </w:r>
    </w:p>
    <w:p w:rsidR="00000000" w:rsidDel="00000000" w:rsidP="00000000" w:rsidRDefault="00000000" w:rsidRPr="00000000" w14:paraId="000000B0">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B1">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B2">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B3">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B4">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B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B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7">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B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BA">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BB">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MARCIA CARVALHO GUEDES</w:t>
      </w:r>
    </w:p>
    <w:p w:rsidR="00000000" w:rsidDel="00000000" w:rsidP="00000000" w:rsidRDefault="00000000" w:rsidRPr="00000000" w14:paraId="000000BC">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BD">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BE">
      <w:pPr>
        <w:ind w:right="47"/>
        <w:jc w:val="both"/>
        <w:rPr>
          <w:rFonts w:ascii="Arial" w:cs="Arial" w:eastAsia="Arial" w:hAnsi="Arial"/>
          <w:b w:val="1"/>
          <w:color w:val="000000"/>
          <w:sz w:val="16"/>
          <w:szCs w:val="16"/>
        </w:rPr>
      </w:pPr>
      <w:bookmarkStart w:colFirst="0" w:colLast="0" w:name="_heading=h.2et92p0" w:id="1"/>
      <w:bookmarkEnd w:id="1"/>
      <w:r w:rsidDel="00000000" w:rsidR="00000000" w:rsidRPr="00000000">
        <w:rPr>
          <w:rtl w:val="0"/>
        </w:rPr>
      </w:r>
    </w:p>
    <w:p w:rsidR="00000000" w:rsidDel="00000000" w:rsidP="00000000" w:rsidRDefault="00000000" w:rsidRPr="00000000" w14:paraId="000000BF">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C0">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C1">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C2">
      <w:pPr>
        <w:ind w:right="47"/>
        <w:jc w:val="both"/>
        <w:rPr>
          <w:rFonts w:ascii="Arial" w:cs="Arial" w:eastAsia="Arial" w:hAnsi="Arial"/>
          <w:b w:val="1"/>
          <w:color w:val="000000"/>
          <w:sz w:val="10"/>
          <w:szCs w:val="10"/>
        </w:rPr>
      </w:pPr>
      <w:r w:rsidDel="00000000" w:rsidR="00000000" w:rsidRPr="00000000">
        <w:rPr>
          <w:rFonts w:ascii="Arial" w:cs="Arial" w:eastAsia="Arial" w:hAnsi="Arial"/>
          <w:b w:val="1"/>
          <w:color w:val="000000"/>
          <w:sz w:val="10"/>
          <w:szCs w:val="10"/>
          <w:rtl w:val="0"/>
        </w:rPr>
        <w:t xml:space="preserve">F</w:t>
      </w:r>
      <w:r w:rsidDel="00000000" w:rsidR="00000000" w:rsidRPr="00000000">
        <w:rPr>
          <w:rFonts w:ascii="Arial" w:cs="Arial" w:eastAsia="Arial" w:hAnsi="Arial"/>
          <w:b w:val="1"/>
          <w:sz w:val="10"/>
          <w:szCs w:val="10"/>
          <w:rtl w:val="0"/>
        </w:rPr>
        <w:t xml:space="preserve">RA</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orient="portrait"/>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link w:val="PargrafodaLista"/>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denotaderodap">
    <w:name w:val="footnote text"/>
    <w:basedOn w:val="Normal"/>
    <w:link w:val="TextodenotaderodapChar"/>
    <w:semiHidden w:val="1"/>
    <w:rsid w:val="002876A8"/>
  </w:style>
  <w:style w:type="character" w:styleId="TextodenotaderodapChar" w:customStyle="1">
    <w:name w:val="Texto de nota de rodapé Char"/>
    <w:basedOn w:val="Fontepargpadro"/>
    <w:link w:val="Textodenotaderodap"/>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centralizado" w:customStyle="1">
    <w:name w:val="texto_centralizado"/>
    <w:basedOn w:val="Normal"/>
    <w:rsid w:val="007043C8"/>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di50SuhZD/pgTys8j3F7MwVa6Nw==">AMUW2mUNGx5jkKPmW9sSSuctyN1KWOriDL8zXCfEKzJByskg+ctqP6it7Sb6G9grpUiDMpZgirRpxAAALqWdf/b8w57+/12xIUIhSDmBBKDRt+NlsvtKagDt0LogOCX/R+z6X3J+2wVo8fLLSlD2JG2zwFlEipsUMA==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2019-12-20T17:08:00Z</dcterms:created>
  <dc:creator>SESAU</dc:creator>
</cp:coreProperties>
</file>