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360/2020</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392/2019</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0025.553583/2019-15</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A">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para futura e eventual Aquisição de Equipamentos e Máquinas para Agroindústria para processamento de Farinha, para atender as ações da SECRETARIA DE ESTADO DA AGRICULTURA DE RONDÔNIA/SEAGRI, por um período de 12 (doze) meses</w:t>
      </w:r>
      <w:r w:rsidDel="00000000" w:rsidR="00000000" w:rsidRPr="00000000">
        <w:rPr>
          <w:rFonts w:ascii="Arial" w:cs="Arial" w:eastAsia="Arial" w:hAnsi="Arial"/>
          <w:color w:val="000000"/>
          <w:sz w:val="16"/>
          <w:szCs w:val="16"/>
          <w:rtl w:val="0"/>
        </w:rPr>
        <w:t xml:space="preserve">, a pedido da Secretaria de Estado da </w:t>
      </w:r>
      <w:r w:rsidDel="00000000" w:rsidR="00000000" w:rsidRPr="00000000">
        <w:rPr>
          <w:rFonts w:ascii="Arial" w:cs="Arial" w:eastAsia="Arial" w:hAnsi="Arial"/>
          <w:sz w:val="16"/>
          <w:szCs w:val="16"/>
          <w:rtl w:val="0"/>
        </w:rPr>
        <w:t xml:space="preserve">AGRICULTURA DE RONDÔNIA - SEAGRI</w:t>
      </w:r>
      <w:r w:rsidDel="00000000" w:rsidR="00000000" w:rsidRPr="00000000">
        <w:rPr>
          <w:rFonts w:ascii="Arial" w:cs="Arial" w:eastAsia="Arial" w:hAnsi="Arial"/>
          <w:color w:val="000000"/>
          <w:sz w:val="16"/>
          <w:szCs w:val="16"/>
          <w:rtl w:val="0"/>
        </w:rPr>
        <w:t xml:space="preserve">,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D">
      <w:pPr>
        <w:ind w:right="0"/>
        <w:jc w:val="both"/>
        <w:rPr>
          <w:rFonts w:ascii="Arial" w:cs="Arial" w:eastAsia="Arial" w:hAnsi="Arial"/>
          <w:color w:val="ff0000"/>
          <w:sz w:val="16"/>
          <w:szCs w:val="16"/>
        </w:rPr>
      </w:pPr>
      <w:r w:rsidDel="00000000" w:rsidR="00000000" w:rsidRPr="00000000">
        <w:rPr>
          <w:rFonts w:ascii="Arial" w:cs="Arial" w:eastAsia="Arial" w:hAnsi="Arial"/>
          <w:color w:val="000000"/>
          <w:sz w:val="16"/>
          <w:szCs w:val="16"/>
          <w:rtl w:val="0"/>
        </w:rPr>
        <w:t xml:space="preserve">Registro de Preços </w:t>
      </w:r>
      <w:r w:rsidDel="00000000" w:rsidR="00000000" w:rsidRPr="00000000">
        <w:rPr>
          <w:rFonts w:ascii="Arial" w:cs="Arial" w:eastAsia="Arial" w:hAnsi="Arial"/>
          <w:sz w:val="16"/>
          <w:szCs w:val="16"/>
          <w:rtl w:val="0"/>
        </w:rPr>
        <w:t xml:space="preserve">para futura e eventual Aquisição de Equipamentos e Máquinas para Agroindústria para processamento de Farinha, para atender as ações da SECRETARIA DE ESTADO DA AGRICULTURA DE RONDÔNIA/SEAGRI.</w:t>
      </w:r>
      <w:r w:rsidDel="00000000" w:rsidR="00000000" w:rsidRPr="00000000">
        <w:rPr>
          <w:rtl w:val="0"/>
        </w:rPr>
      </w:r>
    </w:p>
    <w:p w:rsidR="00000000" w:rsidDel="00000000" w:rsidP="00000000" w:rsidRDefault="00000000" w:rsidRPr="00000000" w14:paraId="0000000E">
      <w:pPr>
        <w:ind w:right="0"/>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A">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3">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6.3. DO PRAZO DE ENTREGA:  A entrega e instalação dos objetos deverá ocorrer em até 60(sessenta) dias após  a entrega da  Nota de Empenho ser disponibilizada ao contratado quando finalizar o certame licitatório havendo a habilitação do vencedor.</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Os EQUIPAMENTOS originários da presente Ata de Registro de Preços, deverão ser entregues e instalados conforme a Autorização de Fornecimento, emitido por esta SEAGRI, o qual informará a Contratada a data,  Município e o endereço da associação que será beneficiada.</w:t>
      </w:r>
      <w:r w:rsidDel="00000000" w:rsidR="00000000" w:rsidRPr="00000000">
        <w:rPr>
          <w:rtl w:val="0"/>
        </w:rPr>
      </w:r>
    </w:p>
    <w:p w:rsidR="00000000" w:rsidDel="00000000" w:rsidP="00000000" w:rsidRDefault="00000000" w:rsidRPr="00000000" w14:paraId="00000025">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artigo 87, I,III e IV da Lei nº 8666/93, pela inexecução total ou parcial do contrato, a Administração poderá, garantida a prévia e ampla defesa, aplicar à Contratada multa de até 20% (vinte por cento) sobre o valor do instrumento contratual se:</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A adjudicatária recusar-se a retirar o instrumento contratual injustificadamente ou se não apresentar situação regular na ocasião dos recebimentos, garantida a prévia e ampla defesa, aplicar a Contratada multa de até 20% (vinte por cento) sobre o valor adjudicado;</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 e no CAGEFIMP (cadastro Estadual de Fornecedores Impedidos de Licitar);</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a cobrança judicial;</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nessa seção não eximem a adjudicatária ou contratada da reparação dos eventuais danos, perdas ou prejuízos que seu ato punível venha a causar à Administração;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 de infração administrativa penalizáveis, nos ermos da Lei n.º 8.666/93, da Lei nº 10.520/02, do Decreto nº 3.555/00 e do Decreto nº 5.540/05:</w:t>
      </w:r>
    </w:p>
    <w:p w:rsidR="00000000" w:rsidDel="00000000" w:rsidP="00000000" w:rsidRDefault="00000000" w:rsidRPr="00000000" w14:paraId="00000039">
      <w:pPr>
        <w:numPr>
          <w:ilvl w:val="0"/>
          <w:numId w:val="1"/>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3A">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3B">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3C">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3D">
      <w:pPr>
        <w:numPr>
          <w:ilvl w:val="0"/>
          <w:numId w:val="1"/>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Para efeito de aplicação de multas, às infrações são atribuídos graus, com percentuais de multas conforme a tabela a seguir, que elenca apenas as principais situações previstas, não eximindo de outras equivalentes que surgirem, conforme o caso:</w:t>
      </w:r>
    </w:p>
    <w:tbl>
      <w:tblPr>
        <w:tblStyle w:val="Table1"/>
        <w:tblW w:w="971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80"/>
        <w:gridCol w:w="5780"/>
        <w:gridCol w:w="1055"/>
        <w:gridCol w:w="1895"/>
        <w:tblGridChange w:id="0">
          <w:tblGrid>
            <w:gridCol w:w="980"/>
            <w:gridCol w:w="5780"/>
            <w:gridCol w:w="1055"/>
            <w:gridCol w:w="189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MULTA*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4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20,0 % por dia/ocorrência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o serviço determinado pela FISCALIZAÇÃO sem motivo justificado,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30,0% por dia/ocorrência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paliativo ou deixar de providenciar recomposição complementar,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30,0 % por dia/ocorrência</w:t>
            </w:r>
          </w:p>
        </w:tc>
      </w:tr>
    </w:tbl>
    <w:p w:rsidR="00000000" w:rsidDel="00000000" w:rsidP="00000000" w:rsidRDefault="00000000" w:rsidRPr="00000000" w14:paraId="0000005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*Incidente sobre o valor da parte inadimplida do contrato*</w:t>
      </w:r>
    </w:p>
    <w:p w:rsidR="00000000" w:rsidDel="00000000" w:rsidP="00000000" w:rsidRDefault="00000000" w:rsidRPr="00000000" w14:paraId="0000005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bl>
      <w:tblPr>
        <w:tblStyle w:val="Table2"/>
        <w:tblW w:w="971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80"/>
        <w:gridCol w:w="6395"/>
        <w:gridCol w:w="1055"/>
        <w:gridCol w:w="1280"/>
        <w:tblGridChange w:id="0">
          <w:tblGrid>
            <w:gridCol w:w="980"/>
            <w:gridCol w:w="6395"/>
            <w:gridCol w:w="1055"/>
            <w:gridCol w:w="1280"/>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MULTA*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para execução de serviços, por dia;</w:t>
            </w:r>
          </w:p>
        </w:tc>
        <w:tc>
          <w:tcP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 por dia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5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do contrato, por dia e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6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10,0% por dia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6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6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20,0% por dia</w:t>
            </w:r>
          </w:p>
        </w:tc>
      </w:tr>
      <w:tr>
        <w:trPr>
          <w:trHeight w:val="1625" w:hRule="atLeast"/>
        </w:trPr>
        <w:tc>
          <w:tcP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os serviços nos prazos estabelecidos, observados os limites mínimos estabelecidos por este Termo de Referência, por serviço,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6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 em veículos, equipamentos, dados etc.</w:t>
            </w:r>
          </w:p>
        </w:tc>
        <w:tc>
          <w:tcP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Realizar os serviços solicitados e de entregar os respectivos produtos, por tipo e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7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7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Mar>
              <w:top w:w="100.0" w:type="dxa"/>
              <w:left w:w="100.0" w:type="dxa"/>
              <w:bottom w:w="100.0" w:type="dxa"/>
              <w:right w:w="100.0" w:type="dxa"/>
            </w:tcMar>
            <w:vAlign w:val="top"/>
          </w:tcPr>
          <w:p w:rsidR="00000000" w:rsidDel="00000000" w:rsidP="00000000" w:rsidRDefault="00000000" w:rsidRPr="00000000" w14:paraId="0000007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7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7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20,0% por dia</w:t>
            </w:r>
          </w:p>
        </w:tc>
      </w:tr>
      <w:tr>
        <w:trPr>
          <w:trHeight w:val="1340" w:hRule="atLeast"/>
        </w:trPr>
        <w:tc>
          <w:tcPr>
            <w:tcMar>
              <w:top w:w="100.0" w:type="dxa"/>
              <w:left w:w="100.0" w:type="dxa"/>
              <w:bottom w:w="100.0" w:type="dxa"/>
              <w:right w:w="100.0" w:type="dxa"/>
            </w:tcMar>
            <w:vAlign w:val="top"/>
          </w:tcPr>
          <w:p w:rsidR="00000000" w:rsidDel="00000000" w:rsidP="00000000" w:rsidRDefault="00000000" w:rsidRPr="00000000" w14:paraId="0000007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Mar>
              <w:top w:w="100.0" w:type="dxa"/>
              <w:left w:w="100.0" w:type="dxa"/>
              <w:bottom w:w="100.0" w:type="dxa"/>
              <w:right w:w="100.0" w:type="dxa"/>
            </w:tcMar>
            <w:vAlign w:val="top"/>
          </w:tcPr>
          <w:p w:rsidR="00000000" w:rsidDel="00000000" w:rsidP="00000000" w:rsidRDefault="00000000" w:rsidRPr="00000000" w14:paraId="0000007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Apresentar, quando solicitado, documentação fiscal, trabalhista e previdenciária, por ocorrência, sendo em dias calculado o descumprimento.</w:t>
            </w:r>
          </w:p>
        </w:tc>
        <w:tc>
          <w:tcPr>
            <w:tcMar>
              <w:top w:w="100.0" w:type="dxa"/>
              <w:left w:w="100.0" w:type="dxa"/>
              <w:bottom w:w="100.0" w:type="dxa"/>
              <w:right w:w="100.0" w:type="dxa"/>
            </w:tcMar>
            <w:vAlign w:val="top"/>
          </w:tcPr>
          <w:p w:rsidR="00000000" w:rsidDel="00000000" w:rsidP="00000000" w:rsidRDefault="00000000" w:rsidRPr="00000000" w14:paraId="0000007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7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7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Mar>
              <w:top w:w="100.0" w:type="dxa"/>
              <w:left w:w="100.0" w:type="dxa"/>
              <w:bottom w:w="100.0" w:type="dxa"/>
              <w:right w:w="100.0" w:type="dxa"/>
            </w:tcMar>
            <w:vAlign w:val="top"/>
          </w:tcPr>
          <w:p w:rsidR="00000000" w:rsidDel="00000000" w:rsidP="00000000" w:rsidRDefault="00000000" w:rsidRPr="00000000" w14:paraId="0000007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por ocorrência e por dia.</w:t>
            </w:r>
          </w:p>
        </w:tc>
        <w:tc>
          <w:tcPr>
            <w:tcMar>
              <w:top w:w="100.0" w:type="dxa"/>
              <w:left w:w="100.0" w:type="dxa"/>
              <w:bottom w:w="100.0" w:type="dxa"/>
              <w:right w:w="100.0" w:type="dxa"/>
            </w:tcMar>
            <w:vAlign w:val="top"/>
          </w:tcPr>
          <w:p w:rsidR="00000000" w:rsidDel="00000000" w:rsidP="00000000" w:rsidRDefault="00000000" w:rsidRPr="00000000" w14:paraId="0000008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8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20,0%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8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Mar>
              <w:top w:w="100.0" w:type="dxa"/>
              <w:left w:w="100.0" w:type="dxa"/>
              <w:bottom w:w="100.0" w:type="dxa"/>
              <w:right w:w="100.0" w:type="dxa"/>
            </w:tcMar>
            <w:vAlign w:val="top"/>
          </w:tcPr>
          <w:p w:rsidR="00000000" w:rsidDel="00000000" w:rsidP="00000000" w:rsidRDefault="00000000" w:rsidRPr="00000000" w14:paraId="0000008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Observar rigorosamente as Normas de Segurança e Medicina do Trabalho vigente</w:t>
            </w:r>
          </w:p>
        </w:tc>
        <w:tc>
          <w:tcPr>
            <w:tcMar>
              <w:top w:w="100.0" w:type="dxa"/>
              <w:left w:w="100.0" w:type="dxa"/>
              <w:bottom w:w="100.0" w:type="dxa"/>
              <w:right w:w="100.0" w:type="dxa"/>
            </w:tcMar>
            <w:vAlign w:val="top"/>
          </w:tcPr>
          <w:p w:rsidR="00000000" w:rsidDel="00000000" w:rsidP="00000000" w:rsidRDefault="00000000" w:rsidRPr="00000000" w14:paraId="0000008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8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10,0% por dia</w:t>
            </w:r>
          </w:p>
        </w:tc>
      </w:tr>
      <w:tr>
        <w:trPr>
          <w:trHeight w:val="1055" w:hRule="atLeast"/>
        </w:trPr>
        <w:tc>
          <w:tcPr>
            <w:tcMar>
              <w:top w:w="100.0" w:type="dxa"/>
              <w:left w:w="100.0" w:type="dxa"/>
              <w:bottom w:w="100.0" w:type="dxa"/>
              <w:right w:w="100.0" w:type="dxa"/>
            </w:tcMar>
            <w:vAlign w:val="top"/>
          </w:tcPr>
          <w:p w:rsidR="00000000" w:rsidDel="00000000" w:rsidP="00000000" w:rsidRDefault="00000000" w:rsidRPr="00000000" w14:paraId="0000008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Mar>
              <w:top w:w="100.0" w:type="dxa"/>
              <w:left w:w="100.0" w:type="dxa"/>
              <w:bottom w:w="100.0" w:type="dxa"/>
              <w:right w:w="100.0" w:type="dxa"/>
            </w:tcMar>
            <w:vAlign w:val="top"/>
          </w:tcPr>
          <w:p w:rsidR="00000000" w:rsidDel="00000000" w:rsidP="00000000" w:rsidRDefault="00000000" w:rsidRPr="00000000" w14:paraId="0000008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Em caso do não cumprimento na execução de entrega dos itens estabelecido no item 6.2 deste termo.</w:t>
            </w:r>
          </w:p>
        </w:tc>
        <w:tc>
          <w:tcPr>
            <w:tcMar>
              <w:top w:w="100.0" w:type="dxa"/>
              <w:left w:w="100.0" w:type="dxa"/>
              <w:bottom w:w="100.0" w:type="dxa"/>
              <w:right w:w="100.0" w:type="dxa"/>
            </w:tcMar>
            <w:vAlign w:val="top"/>
          </w:tcPr>
          <w:p w:rsidR="00000000" w:rsidDel="00000000" w:rsidP="00000000" w:rsidRDefault="00000000" w:rsidRPr="00000000" w14:paraId="0000008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8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40,0% por dia</w:t>
            </w:r>
          </w:p>
        </w:tc>
      </w:tr>
    </w:tbl>
    <w:p w:rsidR="00000000" w:rsidDel="00000000" w:rsidP="00000000" w:rsidRDefault="00000000" w:rsidRPr="00000000" w14:paraId="0000008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*Incidente sobre o valor da parte inadimplida do contrato*</w:t>
      </w:r>
    </w:p>
    <w:p w:rsidR="00000000" w:rsidDel="00000000" w:rsidP="00000000" w:rsidRDefault="00000000" w:rsidRPr="00000000" w14:paraId="0000008B">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9.11. As sanções aqui previstas poderão ser aplicadas concomitantemente, facultada a defesa prévia do interessado no respectivo processo, no prazo de 5 (cinco) dias úteis.</w:t>
      </w:r>
    </w:p>
    <w:p w:rsidR="00000000" w:rsidDel="00000000" w:rsidP="00000000" w:rsidRDefault="00000000" w:rsidRPr="00000000" w14:paraId="0000008C">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9.12. Após 2 (dois) dias da falta de execução do objeto, conforme datas estabelecidas no cronograma de execução deste Termo de Referência, será considerada inexecução total do contrato, o que ensejará a rescisão contratual;</w:t>
      </w:r>
    </w:p>
    <w:p w:rsidR="00000000" w:rsidDel="00000000" w:rsidP="00000000" w:rsidRDefault="00000000" w:rsidRPr="00000000" w14:paraId="0000008D">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8E">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8F">
      <w:pPr>
        <w:spacing w:after="240" w:before="240" w:lineRule="auto"/>
        <w:ind w:left="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9.15. A autoridade competente, na aplicação das sanções, levará em consideração a gravidade da conduta do infrator, o caráter educativo da pena, bem como o dano causado à Administração, observando o princípio da proporcionalidade;</w:t>
      </w:r>
    </w:p>
    <w:p w:rsidR="00000000" w:rsidDel="00000000" w:rsidP="00000000" w:rsidRDefault="00000000" w:rsidRPr="00000000" w14:paraId="00000090">
      <w:pPr>
        <w:spacing w:after="240" w:before="240" w:lineRule="auto"/>
        <w:ind w:left="0" w:firstLine="0"/>
        <w:rPr>
          <w:rFonts w:ascii="Arial" w:cs="Arial" w:eastAsia="Arial" w:hAnsi="Arial"/>
          <w:b w:val="1"/>
          <w:sz w:val="16"/>
          <w:szCs w:val="16"/>
        </w:rPr>
      </w:pPr>
      <w:r w:rsidDel="00000000" w:rsidR="00000000" w:rsidRPr="00000000">
        <w:rPr>
          <w:rFonts w:ascii="Arial" w:cs="Arial" w:eastAsia="Arial" w:hAnsi="Arial"/>
          <w:sz w:val="16"/>
          <w:szCs w:val="16"/>
          <w:rtl w:val="0"/>
        </w:rPr>
        <w:t xml:space="preserve">9.16. A sanção será obrigatoriamente registrada no Sistema de Cadastramento Unificado de Fornecedores – SICAF, bem como em sistemas Estaduais.</w:t>
      </w:r>
      <w:r w:rsidDel="00000000" w:rsidR="00000000" w:rsidRPr="00000000">
        <w:rPr>
          <w:rtl w:val="0"/>
        </w:rPr>
      </w:r>
    </w:p>
    <w:p w:rsidR="00000000" w:rsidDel="00000000" w:rsidP="00000000" w:rsidRDefault="00000000" w:rsidRPr="00000000" w14:paraId="00000091">
      <w:pP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2">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93">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4">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9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A">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A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F">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B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B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B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SEAGRI - Secretaria de Estado da Agricultura.</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PROLEITE - Fundo de Investimento e Apoio ao Programa de Desenvolvimento à Pecuária Leiteira do Estado.</w:t>
      </w:r>
    </w:p>
    <w:p w:rsidR="00000000" w:rsidDel="00000000" w:rsidP="00000000" w:rsidRDefault="00000000" w:rsidRPr="00000000" w14:paraId="000000BC">
      <w:pPr>
        <w:rPr>
          <w:rFonts w:ascii="Arial" w:cs="Arial" w:eastAsia="Arial" w:hAnsi="Arial"/>
          <w:sz w:val="16"/>
          <w:szCs w:val="16"/>
        </w:rPr>
      </w:pPr>
      <w:bookmarkStart w:colFirst="0" w:colLast="0" w:name="_heading=h.30j0zll" w:id="1"/>
      <w:bookmarkEnd w:id="1"/>
      <w:r w:rsidDel="00000000" w:rsidR="00000000" w:rsidRPr="00000000">
        <w:rPr>
          <w:rtl w:val="0"/>
        </w:rPr>
      </w:r>
    </w:p>
    <w:p w:rsidR="00000000" w:rsidDel="00000000" w:rsidP="00000000" w:rsidRDefault="00000000" w:rsidRPr="00000000" w14:paraId="000000B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C2">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3">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5">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6">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7">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C8">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C9">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F">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951E50"/>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9LGK5PVsVs1pQCHxhZyVEtqkcQ==">AMUW2mWmGtSz9hIyWa25ejc2Wh6YECuLgXGeu+B8udU+qzaYT6QVpDPk1rfNY6N0XOe8J5ryNT8xffF0KtWbOFd7zgtThiY/XOWCm3Mhzs7gL3QrQ+E9Fw3VtAMvAHKkcP+mAwI7GQdDWcaxe6kkPUTeUVP8qfNqJw==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2020-03-04T12:48:00Z</dcterms:created>
  <dc:creator>SESAU</dc:creator>
</cp:coreProperties>
</file>