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5"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324/2020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123/2020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0025.018209/2020-01</w:t>
      </w:r>
    </w:p>
    <w:p w:rsidR="00000000" w:rsidDel="00000000" w:rsidP="00000000" w:rsidRDefault="00000000" w:rsidRPr="00000000" w14:paraId="00000009">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w:t>
      </w:r>
      <w:r w:rsidDel="00000000" w:rsidR="00000000" w:rsidRPr="00000000">
        <w:rPr>
          <w:rFonts w:ascii="Arial" w:cs="Arial" w:eastAsia="Arial" w:hAnsi="Arial"/>
          <w:sz w:val="16"/>
          <w:szCs w:val="16"/>
          <w:rtl w:val="0"/>
        </w:rPr>
        <w:t xml:space="preserve"> para futura e eventual  Aquisição de Equipamentos e Máquinas para Agroindústria (Kit Castanha) para atender à Unidades Familiares de Produção dos municípios : Alvorada do Oeste, Costa Marques , Espigão do Oeste, Guajará Mirim,), a pedido da </w:t>
      </w:r>
      <w:r w:rsidDel="00000000" w:rsidR="00000000" w:rsidRPr="00000000">
        <w:rPr>
          <w:rFonts w:ascii="Arial" w:cs="Arial" w:eastAsia="Arial" w:hAnsi="Arial"/>
          <w:b w:val="1"/>
          <w:sz w:val="16"/>
          <w:szCs w:val="16"/>
          <w:rtl w:val="0"/>
        </w:rPr>
        <w:t xml:space="preserve">Secretaria de Estado da Agricultura – SEAGRI.</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futura e eventual  Aquisição de Equipamentos e Máquinas para Agroindústria (Kit Castanha) para atender à Unidades Familiares de Produção dos municípios : Alvorada do Oeste, Costa Marques , Espigão do Oeste, Guajará Mirim, a pedido da </w:t>
      </w:r>
      <w:r w:rsidDel="00000000" w:rsidR="00000000" w:rsidRPr="00000000">
        <w:rPr>
          <w:rFonts w:ascii="Arial" w:cs="Arial" w:eastAsia="Arial" w:hAnsi="Arial"/>
          <w:b w:val="1"/>
          <w:sz w:val="16"/>
          <w:szCs w:val="16"/>
          <w:rtl w:val="0"/>
        </w:rPr>
        <w:t xml:space="preserve">Secretaria de Estado da Agricultura – SEAGRI.</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 Dar-se-á o prazo de 60 (sessenta dias corridos) após a entrega da Autorização de Fornecimento ao detentor da Ata de Registro de Preços, de acordo com o princípio da razoabilidade e proporcionalidade, podendo ser prorrogado por mais 60 (sessenta) dias por acordo pelas partes.</w:t>
      </w:r>
      <w:r w:rsidDel="00000000" w:rsidR="00000000" w:rsidRPr="00000000">
        <w:rPr>
          <w:rtl w:val="0"/>
        </w:rPr>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 Os EQUIPAMENTOS originários da presente Ata de Registro de Preços, deverão ser entregues e instalados conforme a Autorização de Fornecimento, emitido por esta SEAGRI, o qual informará a Contratada a data,  Município e o endereço da associação que será beneficiada. </w:t>
      </w:r>
      <w:r w:rsidDel="00000000" w:rsidR="00000000" w:rsidRPr="00000000">
        <w:rPr>
          <w:rFonts w:ascii="Arial" w:cs="Arial" w:eastAsia="Arial" w:hAnsi="Arial"/>
          <w:sz w:val="16"/>
          <w:szCs w:val="16"/>
          <w:rtl w:val="0"/>
        </w:rPr>
        <w:t xml:space="preserve">CONFORME ITEM 19.1.  DO TR.</w:t>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Conforme o disposto no art. 7º da Lei nº 10.520, de 17/07/2002, quem, convocado dentro do prazo de validade da sua proposta, não celebrar o contrato, deixar de entregar, apresentar documentação falsa, ensejar o retardamento da execução do seu objeto, não mantiver a proposta, falhar ou fraudar na execução do contrato, comportar-se de modo inidôneo ou cometer fraude ﬁscal, ﬁcará impedido de licitar e contratar com a Administração, e será descredenciado no SICAF, ou nos sistemas de cadastramento de fornecedores a que se refere o inciso XIV do artigo 4º, da sobredita Lei, pelo prazo de até 05 (cinco) anos, sem prejuízo das sanções previstas no Edital, e demais culminações legais.</w:t>
      </w:r>
    </w:p>
    <w:p w:rsidR="00000000" w:rsidDel="00000000" w:rsidP="00000000" w:rsidRDefault="00000000" w:rsidRPr="00000000" w14:paraId="00000032">
      <w:pPr>
        <w:numPr>
          <w:ilvl w:val="0"/>
          <w:numId w:val="2"/>
        </w:numPr>
        <w:spacing w:after="0" w:afterAutospacing="0" w:before="24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Se a licitante vencedora recusar-se a entregar o serviço, injustiﬁcadamente, será convocado os demais proponentes chamados, observada a ordem de classiﬁcação, sujeitando-se o proponente desistente às sanções abaixo relacionadas, sem prejuízo das aplicações retro:</w:t>
      </w:r>
    </w:p>
    <w:p w:rsidR="00000000" w:rsidDel="00000000" w:rsidP="00000000" w:rsidRDefault="00000000" w:rsidRPr="00000000" w14:paraId="00000033">
      <w:pPr>
        <w:numPr>
          <w:ilvl w:val="0"/>
          <w:numId w:val="2"/>
        </w:numPr>
        <w:spacing w:after="0" w:afterAutospacing="0" w:before="0" w:beforeAutospacing="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Advertência por escrito, quando Contratada praticar irregularidades de pequena monta;</w:t>
      </w:r>
    </w:p>
    <w:p w:rsidR="00000000" w:rsidDel="00000000" w:rsidP="00000000" w:rsidRDefault="00000000" w:rsidRPr="00000000" w14:paraId="00000034">
      <w:pPr>
        <w:numPr>
          <w:ilvl w:val="0"/>
          <w:numId w:val="2"/>
        </w:numPr>
        <w:spacing w:after="0" w:afterAutospacing="0" w:before="0" w:beforeAutospacing="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administrativa no percentual de 5% (cinco por cento), por dia de atraso na entrega, sobre o valor do item adjudicado, a partir do primeiro dia útil da data ﬁxada para a entrega do objeto, limitada a 10% (dez por cento) do valor dos serviços;</w:t>
      </w:r>
    </w:p>
    <w:p w:rsidR="00000000" w:rsidDel="00000000" w:rsidP="00000000" w:rsidRDefault="00000000" w:rsidRPr="00000000" w14:paraId="00000035">
      <w:pPr>
        <w:numPr>
          <w:ilvl w:val="0"/>
          <w:numId w:val="2"/>
        </w:numPr>
        <w:spacing w:after="0" w:afterAutospacing="0" w:before="0" w:beforeAutospacing="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Suspensão temporária de participação em licitações e impedimento de contratar com a Administração Pública, por prazo de até 02 (dois) anos;</w:t>
      </w:r>
    </w:p>
    <w:p w:rsidR="00000000" w:rsidDel="00000000" w:rsidP="00000000" w:rsidRDefault="00000000" w:rsidRPr="00000000" w14:paraId="00000036">
      <w:pPr>
        <w:numPr>
          <w:ilvl w:val="0"/>
          <w:numId w:val="2"/>
        </w:numPr>
        <w:spacing w:after="240" w:before="0" w:beforeAutospacing="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Declaração de inidoneidade para licitar e contratar com a Administração Pública, enquanto perdurarem os motivos determinantes da punição ou até que seja promovida a reabilitação, na forma da lei, perante a própria autoridade que aplicou a penalidade;</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Sem prejuízo das sanções cominadas no artigo 87, I,II,III e IV da Lei nº 8666/93, pela inexecução total ou parcial do contrato, a Administração poderá, garantida a prévia e ampla defesa, aplicar à Contratada multa de até 20% (vinte por cento) sobre o valor do instrumento contratual se:</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A adjudicatária recusar-se a retirar o instrumento contratual injustificadamente ou se não apresentar situação regular na ocasião dos recebimentos, garantida a prévia e ampla defesa, aplicar a Contratada multa de até 20% (vinte por cento) sobre o valor adjudicado;</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 licitante, adjudicatária ou a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ficara impedida de licitar e contratar com o Estado, e será descredenciado no Cadastro de Fornecedores Estadual, pelo prazo de até 5 (cinco) anos, sem prejuízo das multas previstas no Edital e demais cominações legais, devendo ser incluída a penalidade no SICAF e no CAGEFIMP (cadastro Estadual de Fornecedores Impedidos de Licitar);</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 multa, eventualmente imposta à Contratada, será automaticamente descontada da fatura a que fizer jus, acrescida de juros moratório de 1% (um por cento) ao mês. Caso a contratada não tenha nenhum valor a receber do Estado, ser-lhe-á concedido prazo de 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a cobrança judicial;</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As multas previstas nessa seção não eximem a adjudicatária ou contratada da reparação dos eventuais danos, perdas ou prejuízos que seu ato punível venha a causar à Administração;</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As penalidades são independentes e a aplicação de uma não exclui a das demais, quando cabíveis.</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Quaisquer multas aplicadas deverão ser recolhidas junto ao Órgão Competente até 10 (dez) dias úteis contados de sua publicação no Diário Oﬁcial do Estado, podendo, ainda, ser descontadas de qualquer fatura ou crédito existente, a critério da Contratante.</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As penalidades previstas no item anterior não se aplicarão as licitantes remanescentes convocadas em virtude da não aceitação da primeira colocada, ressalvado o caso de inadimplemento contratual, após a contratação de qualquer das empresas.</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Quaisquer multas aplicadas deverão ser recolhidas junto ao Órgão Competente até 10 (dez) dias úteis contados de sua publicação no Diário Oﬁcial do Estado, podendo, ainda, ser descontadas de qualquer fatura ou crédito existente, a critério da Contratante.</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As sanções serão obrigatoriamente registradas no Sistema de Cadastramento de Fornecedores – SICAF ou nos sistemas de cadastramento de fornecedores a que se refere o inciso XIV do artigo 4º, da sobredita Lei.</w:t>
      </w:r>
    </w:p>
    <w:p w:rsidR="00000000" w:rsidDel="00000000" w:rsidP="00000000" w:rsidRDefault="00000000" w:rsidRPr="00000000" w14:paraId="0000004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4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São exemplo de infração administrativa penalizáveis, nos ermos da Lei n.º 8.666/93, da Lei nº 10.520/02, do Decreto nº 3.555/00 e do Decreto nº 5.540/05:</w:t>
      </w:r>
    </w:p>
    <w:p w:rsidR="00000000" w:rsidDel="00000000" w:rsidP="00000000" w:rsidRDefault="00000000" w:rsidRPr="00000000" w14:paraId="00000045">
      <w:pPr>
        <w:numPr>
          <w:ilvl w:val="0"/>
          <w:numId w:val="1"/>
        </w:numPr>
        <w:spacing w:after="0" w:afterAutospacing="0" w:before="24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Inexecução total ou parcial do contrato;</w:t>
      </w:r>
    </w:p>
    <w:p w:rsidR="00000000" w:rsidDel="00000000" w:rsidP="00000000" w:rsidRDefault="00000000" w:rsidRPr="00000000" w14:paraId="00000046">
      <w:pPr>
        <w:numPr>
          <w:ilvl w:val="0"/>
          <w:numId w:val="1"/>
        </w:numPr>
        <w:spacing w:after="0" w:afterAutospacing="0" w:before="0" w:beforeAutospacing="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Apresentação de documentação falsa;</w:t>
      </w:r>
    </w:p>
    <w:p w:rsidR="00000000" w:rsidDel="00000000" w:rsidP="00000000" w:rsidRDefault="00000000" w:rsidRPr="00000000" w14:paraId="00000047">
      <w:pPr>
        <w:numPr>
          <w:ilvl w:val="0"/>
          <w:numId w:val="1"/>
        </w:numPr>
        <w:spacing w:after="0" w:afterAutospacing="0" w:before="0" w:beforeAutospacing="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Comportamento inidôneo;</w:t>
      </w:r>
    </w:p>
    <w:p w:rsidR="00000000" w:rsidDel="00000000" w:rsidP="00000000" w:rsidRDefault="00000000" w:rsidRPr="00000000" w14:paraId="00000048">
      <w:pPr>
        <w:numPr>
          <w:ilvl w:val="0"/>
          <w:numId w:val="1"/>
        </w:numPr>
        <w:spacing w:after="0" w:afterAutospacing="0" w:before="0" w:beforeAutospacing="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Fraude fiscal;</w:t>
      </w:r>
    </w:p>
    <w:p w:rsidR="00000000" w:rsidDel="00000000" w:rsidP="00000000" w:rsidRDefault="00000000" w:rsidRPr="00000000" w14:paraId="00000049">
      <w:pPr>
        <w:numPr>
          <w:ilvl w:val="0"/>
          <w:numId w:val="1"/>
        </w:numPr>
        <w:spacing w:after="240" w:before="0" w:beforeAutospacing="0" w:lineRule="auto"/>
        <w:ind w:left="720" w:hanging="36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Descumprimento de qualquer dos deveres elencados no edital ou no contrato;</w:t>
      </w:r>
    </w:p>
    <w:p w:rsidR="00000000" w:rsidDel="00000000" w:rsidP="00000000" w:rsidRDefault="00000000" w:rsidRPr="00000000" w14:paraId="0000004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Para efeito de aplicação de multas, às infrações são atribuídos graus, com percentuais de multas conforme a tabela a seguir, que elenca apenas as principais situações previstas, não eximindo de outras equivalentes que surgirem, conforme o caso:</w:t>
      </w:r>
    </w:p>
    <w:tbl>
      <w:tblPr>
        <w:tblStyle w:val="Table1"/>
        <w:tblW w:w="971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80"/>
        <w:gridCol w:w="5780"/>
        <w:gridCol w:w="1055"/>
        <w:gridCol w:w="1895"/>
        <w:tblGridChange w:id="0">
          <w:tblGrid>
            <w:gridCol w:w="980"/>
            <w:gridCol w:w="5780"/>
            <w:gridCol w:w="1055"/>
            <w:gridCol w:w="1895"/>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1625" w:hRule="atLeast"/>
        </w:trPr>
        <w:tc>
          <w:tcPr>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20,0 % por dia/ocorrência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5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os serviços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20,0%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Recusar-se a executar a entrega determinada pela FISCALIZAÇÃO sem motivo justificado,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30,0% por dia/ocorrência</w:t>
            </w:r>
          </w:p>
        </w:tc>
      </w:tr>
      <w:tr>
        <w:trPr>
          <w:trHeight w:val="1625" w:hRule="atLeast"/>
        </w:trPr>
        <w:tc>
          <w:tcPr>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Executar entrega incompleto, paliativo ou deixar de providenciar recomposição complementar,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5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5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30,0 % por dia/ocorrência</w:t>
            </w:r>
          </w:p>
        </w:tc>
      </w:tr>
    </w:tbl>
    <w:p w:rsidR="00000000" w:rsidDel="00000000" w:rsidP="00000000" w:rsidRDefault="00000000" w:rsidRPr="00000000" w14:paraId="0000006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*Incidente sobre o valor da parte inadimplida do contrato*</w:t>
      </w:r>
    </w:p>
    <w:p w:rsidR="00000000" w:rsidDel="00000000" w:rsidP="00000000" w:rsidRDefault="00000000" w:rsidRPr="00000000" w14:paraId="0000006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bl>
      <w:tblPr>
        <w:tblStyle w:val="Table2"/>
        <w:tblW w:w="971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80"/>
        <w:gridCol w:w="6395"/>
        <w:gridCol w:w="1055"/>
        <w:gridCol w:w="1280"/>
        <w:tblGridChange w:id="0">
          <w:tblGrid>
            <w:gridCol w:w="980"/>
            <w:gridCol w:w="6395"/>
            <w:gridCol w:w="1055"/>
            <w:gridCol w:w="1280"/>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6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prazo previamente estabelecido para execução de entrega, por dia;</w:t>
            </w:r>
          </w:p>
        </w:tc>
        <w:tc>
          <w:tcPr>
            <w:tcMar>
              <w:top w:w="100.0" w:type="dxa"/>
              <w:left w:w="100.0" w:type="dxa"/>
              <w:bottom w:w="100.0" w:type="dxa"/>
              <w:right w:w="100.0" w:type="dxa"/>
            </w:tcMar>
            <w:vAlign w:val="top"/>
          </w:tcPr>
          <w:p w:rsidR="00000000" w:rsidDel="00000000" w:rsidP="00000000" w:rsidRDefault="00000000" w:rsidRPr="00000000" w14:paraId="0000006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6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625" w:hRule="atLeast"/>
        </w:trPr>
        <w:tc>
          <w:tcP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6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o pagamento de seguros, encargos, fiscais e sociais, assim como quaisquer despesas diretas e/ou indiretas relacionadas à execução do contrato, por dia e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6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6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10,0% por dia</w:t>
            </w:r>
          </w:p>
        </w:tc>
      </w:tr>
      <w:tr>
        <w:trPr>
          <w:trHeight w:val="1625" w:hRule="atLeast"/>
        </w:trPr>
        <w:tc>
          <w:tcPr>
            <w:tcMar>
              <w:top w:w="100.0" w:type="dxa"/>
              <w:left w:w="100.0" w:type="dxa"/>
              <w:bottom w:w="100.0" w:type="dxa"/>
              <w:right w:w="100.0" w:type="dxa"/>
            </w:tcMar>
            <w:vAlign w:val="top"/>
          </w:tcPr>
          <w:p w:rsidR="00000000" w:rsidDel="00000000" w:rsidP="00000000" w:rsidRDefault="00000000" w:rsidRPr="00000000" w14:paraId="0000006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6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seus anexos, mesmo que não previstos nesta tabela de multas, após reincidência formalmente notificada pela fiscalização,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7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7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20,0%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7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7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determinação formal ou instrução complementar da fiscalização,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7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7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20,0% por dia</w:t>
            </w:r>
          </w:p>
        </w:tc>
      </w:tr>
      <w:tr>
        <w:trPr>
          <w:trHeight w:val="1625" w:hRule="atLeast"/>
        </w:trPr>
        <w:tc>
          <w:tcPr>
            <w:tcMar>
              <w:top w:w="100.0" w:type="dxa"/>
              <w:left w:w="100.0" w:type="dxa"/>
              <w:bottom w:w="100.0" w:type="dxa"/>
              <w:right w:w="100.0" w:type="dxa"/>
            </w:tcMar>
            <w:vAlign w:val="top"/>
          </w:tcPr>
          <w:p w:rsidR="00000000" w:rsidDel="00000000" w:rsidP="00000000" w:rsidRDefault="00000000" w:rsidRPr="00000000" w14:paraId="0000007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7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os serviços nos prazos estabelecidos, observados os limites mínimos estabelecidos por este Termo de Referência, por serviço,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7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7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40,0%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7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7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Ressarcir o órgão por eventuais danos causados por sua culpa, em veículos, equipamentos, dados etc.</w:t>
            </w:r>
          </w:p>
        </w:tc>
        <w:tc>
          <w:tcPr>
            <w:tcMar>
              <w:top w:w="100.0" w:type="dxa"/>
              <w:left w:w="100.0" w:type="dxa"/>
              <w:bottom w:w="100.0" w:type="dxa"/>
              <w:right w:w="100.0" w:type="dxa"/>
            </w:tcMar>
            <w:vAlign w:val="top"/>
          </w:tcPr>
          <w:p w:rsidR="00000000" w:rsidDel="00000000" w:rsidP="00000000" w:rsidRDefault="00000000" w:rsidRPr="00000000" w14:paraId="0000007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7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20,0%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7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tcMar>
              <w:top w:w="100.0" w:type="dxa"/>
              <w:left w:w="100.0" w:type="dxa"/>
              <w:bottom w:w="100.0" w:type="dxa"/>
              <w:right w:w="100.0" w:type="dxa"/>
            </w:tcMar>
            <w:vAlign w:val="top"/>
          </w:tcPr>
          <w:p w:rsidR="00000000" w:rsidDel="00000000" w:rsidP="00000000" w:rsidRDefault="00000000" w:rsidRPr="00000000" w14:paraId="0000007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Realizar os serviços solicitados e  entregar os respectivos equipamentos, por tipo e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8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8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40,0%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8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tcMar>
              <w:top w:w="100.0" w:type="dxa"/>
              <w:left w:w="100.0" w:type="dxa"/>
              <w:bottom w:w="100.0" w:type="dxa"/>
              <w:right w:w="100.0" w:type="dxa"/>
            </w:tcMar>
            <w:vAlign w:val="top"/>
          </w:tcPr>
          <w:p w:rsidR="00000000" w:rsidDel="00000000" w:rsidP="00000000" w:rsidRDefault="00000000" w:rsidRPr="00000000" w14:paraId="0000008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8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8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20,0%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8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tcMar>
              <w:top w:w="100.0" w:type="dxa"/>
              <w:left w:w="100.0" w:type="dxa"/>
              <w:bottom w:w="100.0" w:type="dxa"/>
              <w:right w:w="100.0" w:type="dxa"/>
            </w:tcMar>
            <w:vAlign w:val="top"/>
          </w:tcPr>
          <w:p w:rsidR="00000000" w:rsidDel="00000000" w:rsidP="00000000" w:rsidRDefault="00000000" w:rsidRPr="00000000" w14:paraId="0000008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Apresentar, quando solicitado, documentação fiscal, trabalhista e previdenciária,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8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8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10,0%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8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tcMar>
              <w:top w:w="100.0" w:type="dxa"/>
              <w:left w:w="100.0" w:type="dxa"/>
              <w:bottom w:w="100.0" w:type="dxa"/>
              <w:right w:w="100.0" w:type="dxa"/>
            </w:tcMar>
            <w:vAlign w:val="top"/>
          </w:tcPr>
          <w:p w:rsidR="00000000" w:rsidDel="00000000" w:rsidP="00000000" w:rsidRDefault="00000000" w:rsidRPr="00000000" w14:paraId="0000008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suporte técnico à contratante, por ocorrência e por dia.</w:t>
            </w:r>
          </w:p>
        </w:tc>
        <w:tc>
          <w:tcPr>
            <w:tcMar>
              <w:top w:w="100.0" w:type="dxa"/>
              <w:left w:w="100.0" w:type="dxa"/>
              <w:bottom w:w="100.0" w:type="dxa"/>
              <w:right w:w="100.0" w:type="dxa"/>
            </w:tcMar>
            <w:vAlign w:val="top"/>
          </w:tcPr>
          <w:p w:rsidR="00000000" w:rsidDel="00000000" w:rsidP="00000000" w:rsidRDefault="00000000" w:rsidRPr="00000000" w14:paraId="0000008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8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20,0%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8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tcMar>
              <w:top w:w="100.0" w:type="dxa"/>
              <w:left w:w="100.0" w:type="dxa"/>
              <w:bottom w:w="100.0" w:type="dxa"/>
              <w:right w:w="100.0" w:type="dxa"/>
            </w:tcMar>
            <w:vAlign w:val="top"/>
          </w:tcPr>
          <w:p w:rsidR="00000000" w:rsidDel="00000000" w:rsidP="00000000" w:rsidRDefault="00000000" w:rsidRPr="00000000" w14:paraId="0000008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Observar rigorosamente as Normas de Segurança e Medicina do Trabalho vigente</w:t>
            </w:r>
          </w:p>
        </w:tc>
        <w:tc>
          <w:tcPr>
            <w:tcMar>
              <w:top w:w="100.0" w:type="dxa"/>
              <w:left w:w="100.0" w:type="dxa"/>
              <w:bottom w:w="100.0" w:type="dxa"/>
              <w:right w:w="100.0" w:type="dxa"/>
            </w:tcMar>
            <w:vAlign w:val="top"/>
          </w:tcPr>
          <w:p w:rsidR="00000000" w:rsidDel="00000000" w:rsidP="00000000" w:rsidRDefault="00000000" w:rsidRPr="00000000" w14:paraId="0000009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9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10,0%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9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w:t>
            </w:r>
          </w:p>
        </w:tc>
        <w:tc>
          <w:tcPr>
            <w:tcMar>
              <w:top w:w="100.0" w:type="dxa"/>
              <w:left w:w="100.0" w:type="dxa"/>
              <w:bottom w:w="100.0" w:type="dxa"/>
              <w:right w:w="100.0" w:type="dxa"/>
            </w:tcMar>
            <w:vAlign w:val="top"/>
          </w:tcPr>
          <w:p w:rsidR="00000000" w:rsidDel="00000000" w:rsidP="00000000" w:rsidRDefault="00000000" w:rsidRPr="00000000" w14:paraId="0000009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Em caso do não cumprimento de execução de entrega dos Equipamentos.</w:t>
            </w:r>
          </w:p>
        </w:tc>
        <w:tc>
          <w:tcPr>
            <w:tcMar>
              <w:top w:w="100.0" w:type="dxa"/>
              <w:left w:w="100.0" w:type="dxa"/>
              <w:bottom w:w="100.0" w:type="dxa"/>
              <w:right w:w="100.0" w:type="dxa"/>
            </w:tcMar>
            <w:vAlign w:val="top"/>
          </w:tcPr>
          <w:p w:rsidR="00000000" w:rsidDel="00000000" w:rsidP="00000000" w:rsidRDefault="00000000" w:rsidRPr="00000000" w14:paraId="0000009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9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40,0% por dia</w:t>
            </w:r>
          </w:p>
        </w:tc>
      </w:tr>
    </w:tbl>
    <w:p w:rsidR="00000000" w:rsidDel="00000000" w:rsidP="00000000" w:rsidRDefault="00000000" w:rsidRPr="00000000" w14:paraId="0000009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*Incidente sobre o valor da parte inadimplida do contrato*</w:t>
      </w:r>
    </w:p>
    <w:p w:rsidR="00000000" w:rsidDel="00000000" w:rsidP="00000000" w:rsidRDefault="00000000" w:rsidRPr="00000000" w14:paraId="00000097">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As sanções aqui previstas poderão ser aplicadas concomitantemente, facultada a defesa prévia do interessado no respectivo processo, no prazo de 5 (cinco) dias úteis.</w:t>
      </w:r>
    </w:p>
    <w:p w:rsidR="00000000" w:rsidDel="00000000" w:rsidP="00000000" w:rsidRDefault="00000000" w:rsidRPr="00000000" w14:paraId="00000098">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9.19. Após 2 (dois) dias da falta de execução do objeto, conforme datas estabelecidas no cronograma de execução deste Termo de Referência, será considerada inexecução total do contrato, o que ensejará a rescisão contratual;</w:t>
      </w:r>
    </w:p>
    <w:p w:rsidR="00000000" w:rsidDel="00000000" w:rsidP="00000000" w:rsidRDefault="00000000" w:rsidRPr="00000000" w14:paraId="00000099">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9.20.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9A">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9.21.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9B">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9.22. A autoridade competente, na aplicação das sanções, levará em consideração a gravidade da conduta do infrator, o caráter educativo da pena, bem como o dano causado à Administração, observando o princípio da proporcionalidade;</w:t>
      </w:r>
    </w:p>
    <w:p w:rsidR="00000000" w:rsidDel="00000000" w:rsidP="00000000" w:rsidRDefault="00000000" w:rsidRPr="00000000" w14:paraId="0000009C">
      <w:pPr>
        <w:spacing w:after="240" w:before="240" w:lineRule="auto"/>
        <w:ind w:left="0" w:firstLine="0"/>
        <w:rPr>
          <w:rFonts w:ascii="Arial" w:cs="Arial" w:eastAsia="Arial" w:hAnsi="Arial"/>
          <w:sz w:val="16"/>
          <w:szCs w:val="16"/>
        </w:rPr>
      </w:pPr>
      <w:r w:rsidDel="00000000" w:rsidR="00000000" w:rsidRPr="00000000">
        <w:rPr>
          <w:rFonts w:ascii="Arial" w:cs="Arial" w:eastAsia="Arial" w:hAnsi="Arial"/>
          <w:b w:val="1"/>
          <w:sz w:val="16"/>
          <w:szCs w:val="16"/>
          <w:rtl w:val="0"/>
        </w:rPr>
        <w:t xml:space="preserve">9.23. A sanção será obrigatoriamente registrada no Sistema de Cadastramento Unificado de Fornecedores – SICAF, bem como em sistemas Estaduais. </w:t>
      </w:r>
      <w:r w:rsidDel="00000000" w:rsidR="00000000" w:rsidRPr="00000000">
        <w:rPr>
          <w:rtl w:val="0"/>
        </w:rPr>
      </w:r>
    </w:p>
    <w:p w:rsidR="00000000" w:rsidDel="00000000" w:rsidP="00000000" w:rsidRDefault="00000000" w:rsidRPr="00000000" w14:paraId="0000009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9E">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9F">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4">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5">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F">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BA">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BB">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B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B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B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SEAGRI</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Secretaria de Estado da Agricultura.</w:t>
      </w:r>
      <w:r w:rsidDel="00000000" w:rsidR="00000000" w:rsidRPr="00000000">
        <w:rPr>
          <w:rtl w:val="0"/>
        </w:rPr>
      </w:r>
    </w:p>
    <w:p w:rsidR="00000000" w:rsidDel="00000000" w:rsidP="00000000" w:rsidRDefault="00000000" w:rsidRPr="00000000" w14:paraId="000000C6">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C7">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C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C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C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C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D">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CE">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F">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0">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1">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D2">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D3">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5">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D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7">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FRA/SRP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paragraph" w:styleId="tabelatextoalinhadodireita" w:customStyle="1">
    <w:name w:val="tabela_texto_alinhado_direita"/>
    <w:basedOn w:val="Normal"/>
    <w:rsid w:val="00DB2B0E"/>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a77k972NdBb64o9xsyrmpITMhQ==">AMUW2mWA+3YrC+Qh4HNDQ9AYLiCiBiCos2xfZ/pa5BD0AjQ912oyfWKkeV1G+uFTBOQa9nXSZ4KYdjShzcskNLHiz68jg8A3CJFMeuAgaFIG99dNzsG50zoLRjweBa2qNmakWjZTKVtx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2020-03-03T16:42:00Z</dcterms:created>
  <dc:creator>SESAU</dc:creator>
</cp:coreProperties>
</file>