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348/2020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595/2020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0036.294425/2019-81</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e parcelada aquisição de</w:t>
      </w:r>
      <w:r w:rsidDel="00000000" w:rsidR="00000000" w:rsidRPr="00000000">
        <w:rPr>
          <w:rFonts w:ascii="Arial" w:cs="Arial" w:eastAsia="Arial" w:hAnsi="Arial"/>
          <w:b w:val="1"/>
          <w:sz w:val="16"/>
          <w:szCs w:val="16"/>
          <w:rtl w:val="0"/>
        </w:rPr>
        <w:t xml:space="preserve"> Luvas Cirúrgicas </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e parcelada aquisição de</w:t>
      </w:r>
      <w:r w:rsidDel="00000000" w:rsidR="00000000" w:rsidRPr="00000000">
        <w:rPr>
          <w:rFonts w:ascii="Arial" w:cs="Arial" w:eastAsia="Arial" w:hAnsi="Arial"/>
          <w:b w:val="1"/>
          <w:sz w:val="16"/>
          <w:szCs w:val="16"/>
          <w:rtl w:val="0"/>
        </w:rPr>
        <w:t xml:space="preserve"> Luvas Cirúrgicas </w:t>
      </w:r>
      <w:r w:rsidDel="00000000" w:rsidR="00000000" w:rsidRPr="00000000">
        <w:rPr>
          <w:rFonts w:ascii="Arial" w:cs="Arial" w:eastAsia="Arial" w:hAnsi="Arial"/>
          <w:sz w:val="16"/>
          <w:szCs w:val="16"/>
          <w:rtl w:val="0"/>
        </w:rPr>
        <w:t xml:space="preserve">,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para assinatura do contrato e/ou retirada da nota de empenho será de </w:t>
      </w:r>
      <w:r w:rsidDel="00000000" w:rsidR="00000000" w:rsidRPr="00000000">
        <w:rPr>
          <w:rFonts w:ascii="Arial" w:cs="Arial" w:eastAsia="Arial" w:hAnsi="Arial"/>
          <w:b w:val="1"/>
          <w:sz w:val="16"/>
          <w:szCs w:val="16"/>
          <w:rtl w:val="0"/>
        </w:rPr>
        <w:t xml:space="preserve">até 5 (cinco) dias úteis</w:t>
      </w:r>
      <w:r w:rsidDel="00000000" w:rsidR="00000000" w:rsidRPr="00000000">
        <w:rPr>
          <w:rFonts w:ascii="Arial" w:cs="Arial" w:eastAsia="Arial" w:hAnsi="Arial"/>
          <w:sz w:val="16"/>
          <w:szCs w:val="16"/>
          <w:rtl w:val="0"/>
        </w:rPr>
        <w:t xml:space="preserve"> da comunicação ao fornecedor. O mesmo poderá ser feito através  do e-mail cafii.requisicao@gmail.com.</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b w:val="1"/>
          <w:sz w:val="16"/>
          <w:szCs w:val="16"/>
          <w:rtl w:val="0"/>
        </w:rPr>
        <w:t xml:space="preserve">Aos interessados/licitantes fiquem cientes de que os materiais/insumos deverão ser entregues na Central de Abastecimento Farmacêutico - CAF II, sito à Rua: Aparício de Moraes nº 4378 – Bairro: Setor Industrial, CEP: 76824-128, na cidade de Porto Velho/RO. Os dias de funcionamento são de segunda-feira a sexta-feira das 07h30h às 13h30h.</w:t>
      </w: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32">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3">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 Ensejar o retardamento da execução do objeto;</w:t>
      </w:r>
    </w:p>
    <w:p w:rsidR="00000000" w:rsidDel="00000000" w:rsidP="00000000" w:rsidRDefault="00000000" w:rsidRPr="00000000" w14:paraId="00000034">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Falhar ou fraudar na execução do contrato;</w:t>
      </w:r>
    </w:p>
    <w:p w:rsidR="00000000" w:rsidDel="00000000" w:rsidP="00000000" w:rsidRDefault="00000000" w:rsidRPr="00000000" w14:paraId="00000035">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IV - Comportar-se de modo inidôneo;</w:t>
      </w:r>
    </w:p>
    <w:p w:rsidR="00000000" w:rsidDel="00000000" w:rsidP="00000000" w:rsidRDefault="00000000" w:rsidRPr="00000000" w14:paraId="0000003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 - Cometer fraude fiscal;</w:t>
      </w:r>
    </w:p>
    <w:p w:rsidR="00000000" w:rsidDel="00000000" w:rsidP="00000000" w:rsidRDefault="00000000" w:rsidRPr="00000000" w14:paraId="0000003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 - Não mantiver a proposta;</w:t>
      </w:r>
    </w:p>
    <w:p w:rsidR="00000000" w:rsidDel="00000000" w:rsidP="00000000" w:rsidRDefault="00000000" w:rsidRPr="00000000" w14:paraId="0000003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 - Apresentar documento ou declaração falsa.</w:t>
      </w:r>
    </w:p>
    <w:p w:rsidR="00000000" w:rsidDel="00000000" w:rsidP="00000000" w:rsidRDefault="00000000" w:rsidRPr="00000000" w14:paraId="0000003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 Tenham praticado atos ilícitos visando a frustrar os objetivos da licitação;</w:t>
      </w:r>
    </w:p>
    <w:p w:rsidR="00000000" w:rsidDel="00000000" w:rsidP="00000000" w:rsidRDefault="00000000" w:rsidRPr="00000000" w14:paraId="00000049">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9.15 - A contratada, total e/ou parcialmente inadimplente, serão aplicadas as sanções previstas nos artigos 86 e 87 da Lei Federal nº 8.666/93, a saber:</w:t>
      </w:r>
    </w:p>
    <w:p w:rsidR="00000000" w:rsidDel="00000000" w:rsidP="00000000" w:rsidRDefault="00000000" w:rsidRPr="00000000" w14:paraId="0000004B">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C">
      <w:pPr>
        <w:spacing w:after="80" w:before="80" w:lineRule="auto"/>
        <w:ind w:left="0" w:firstLine="0"/>
        <w:jc w:val="both"/>
        <w:rPr>
          <w:rFonts w:ascii="Arial" w:cs="Arial" w:eastAsia="Arial" w:hAnsi="Arial"/>
          <w:b w:val="1"/>
          <w:i w:val="1"/>
          <w:sz w:val="16"/>
          <w:szCs w:val="16"/>
          <w:highlight w:val="yellow"/>
        </w:rPr>
      </w:pPr>
      <w:r w:rsidDel="00000000" w:rsidR="00000000" w:rsidRPr="00000000">
        <w:rPr>
          <w:rFonts w:ascii="Arial" w:cs="Arial" w:eastAsia="Arial" w:hAnsi="Arial"/>
          <w:b w:val="1"/>
          <w:i w:val="1"/>
          <w:sz w:val="16"/>
          <w:szCs w:val="16"/>
          <w:highlight w:val="yellow"/>
          <w:rtl w:val="0"/>
        </w:rPr>
        <w:t xml:space="preserve">II - Multa, cobrada pelo Estado, por via administrativa ou judicial,  de acordo com os casos descritos abaixo:</w:t>
      </w:r>
    </w:p>
    <w:p w:rsidR="00000000" w:rsidDel="00000000" w:rsidP="00000000" w:rsidRDefault="00000000" w:rsidRPr="00000000" w14:paraId="0000004D">
      <w:pPr>
        <w:spacing w:after="80" w:before="80" w:lineRule="auto"/>
        <w:ind w:left="240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4E">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F">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0">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1">
      <w:pPr>
        <w:spacing w:after="80" w:before="80" w:lineRule="auto"/>
        <w:ind w:left="240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52">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3">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4">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 - As penalidades previstas no </w:t>
      </w:r>
      <w:r w:rsidDel="00000000" w:rsidR="00000000" w:rsidRPr="00000000">
        <w:rPr>
          <w:rFonts w:ascii="Arial" w:cs="Arial" w:eastAsia="Arial" w:hAnsi="Arial"/>
          <w:b w:val="1"/>
          <w:i w:val="1"/>
          <w:sz w:val="16"/>
          <w:szCs w:val="16"/>
          <w:highlight w:val="yellow"/>
          <w:rtl w:val="0"/>
        </w:rPr>
        <w:t xml:space="preserve">subitem 15.15,</w:t>
      </w:r>
      <w:r w:rsidDel="00000000" w:rsidR="00000000" w:rsidRPr="00000000">
        <w:rPr>
          <w:rFonts w:ascii="Arial" w:cs="Arial" w:eastAsia="Arial" w:hAnsi="Arial"/>
          <w:b w:val="1"/>
          <w:i w:val="1"/>
          <w:sz w:val="16"/>
          <w:szCs w:val="16"/>
          <w:rtl w:val="0"/>
        </w:rPr>
        <w:t xml:space="preserve">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5">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9">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X - Aplica-se os efeitos da penalidade do </w:t>
      </w:r>
      <w:r w:rsidDel="00000000" w:rsidR="00000000" w:rsidRPr="00000000">
        <w:rPr>
          <w:rFonts w:ascii="Arial" w:cs="Arial" w:eastAsia="Arial" w:hAnsi="Arial"/>
          <w:b w:val="1"/>
          <w:i w:val="1"/>
          <w:sz w:val="16"/>
          <w:szCs w:val="16"/>
          <w:highlight w:val="yellow"/>
          <w:rtl w:val="0"/>
        </w:rPr>
        <w:t xml:space="preserve">subitem 15.15</w:t>
      </w:r>
      <w:r w:rsidDel="00000000" w:rsidR="00000000" w:rsidRPr="00000000">
        <w:rPr>
          <w:rFonts w:ascii="Arial" w:cs="Arial" w:eastAsia="Arial" w:hAnsi="Arial"/>
          <w:b w:val="1"/>
          <w:i w:val="1"/>
          <w:sz w:val="16"/>
          <w:szCs w:val="16"/>
          <w:rtl w:val="0"/>
        </w:rPr>
        <w:t xml:space="preserve">, IV à todos os entes Federativo e os efeitos do </w:t>
      </w:r>
      <w:r w:rsidDel="00000000" w:rsidR="00000000" w:rsidRPr="00000000">
        <w:rPr>
          <w:rFonts w:ascii="Arial" w:cs="Arial" w:eastAsia="Arial" w:hAnsi="Arial"/>
          <w:b w:val="1"/>
          <w:i w:val="1"/>
          <w:sz w:val="16"/>
          <w:szCs w:val="16"/>
          <w:highlight w:val="yellow"/>
          <w:rtl w:val="0"/>
        </w:rPr>
        <w:t xml:space="preserve">subitem 15.4</w:t>
      </w:r>
      <w:r w:rsidDel="00000000" w:rsidR="00000000" w:rsidRPr="00000000">
        <w:rPr>
          <w:rFonts w:ascii="Arial" w:cs="Arial" w:eastAsia="Arial" w:hAnsi="Arial"/>
          <w:b w:val="1"/>
          <w:i w:val="1"/>
          <w:sz w:val="16"/>
          <w:szCs w:val="16"/>
          <w:rtl w:val="0"/>
        </w:rPr>
        <w:t xml:space="preserve"> ao Ente Federativo que aplicou a sanção conforme posicionamento do STJ e PGE/RO.</w:t>
      </w:r>
    </w:p>
    <w:p w:rsidR="00000000" w:rsidDel="00000000" w:rsidP="00000000" w:rsidRDefault="00000000" w:rsidRPr="00000000" w14:paraId="0000005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9.16.1 - Desclassificação, se a seleção se encontrar em fase de julgamento;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9.16.2 - Cancelamento do preço registrado, procedendo-se à paralisação do fornecimento.</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9.5.16.3.3 - A detentora incorrer reiteradamente em infrações previstas no Edital;</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9.16.3.6 - Por razões de interesse público, mediante despacho motivado, devidamente justificado.</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6">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7">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Por razões de interesse público;</w:t>
      </w:r>
    </w:p>
    <w:p w:rsidR="00000000" w:rsidDel="00000000" w:rsidP="00000000" w:rsidRDefault="00000000" w:rsidRPr="00000000" w14:paraId="00000069">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C">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D">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6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95"/>
        <w:gridCol w:w="890"/>
        <w:gridCol w:w="995"/>
        <w:tblGridChange w:id="0">
          <w:tblGrid>
            <w:gridCol w:w="830"/>
            <w:gridCol w:w="699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 por dia</w:t>
            </w:r>
          </w:p>
        </w:tc>
      </w:tr>
    </w:tbl>
    <w:p w:rsidR="00000000" w:rsidDel="00000000" w:rsidP="00000000" w:rsidRDefault="00000000" w:rsidRPr="00000000" w14:paraId="000000A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i w:val="1"/>
          <w:sz w:val="16"/>
          <w:szCs w:val="16"/>
          <w:rtl w:val="0"/>
        </w:rPr>
        <w:t xml:space="preserve">              *Incidente sobre a parcela inadimplida do contrato.</w:t>
      </w:r>
      <w:r w:rsidDel="00000000" w:rsidR="00000000" w:rsidRPr="00000000">
        <w:rPr>
          <w:rtl w:val="0"/>
        </w:rPr>
      </w:r>
    </w:p>
    <w:p w:rsidR="00000000" w:rsidDel="00000000" w:rsidP="00000000" w:rsidRDefault="00000000" w:rsidRPr="00000000" w14:paraId="000000A4">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C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D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1">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Qualificada(s) no Anexo Único desta Ata</w:t>
      </w:r>
      <w:r w:rsidDel="00000000" w:rsidR="00000000" w:rsidRPr="00000000">
        <w:rPr>
          <w:rtl w:val="0"/>
        </w:rPr>
      </w:r>
    </w:p>
    <w:p w:rsidR="00000000" w:rsidDel="00000000" w:rsidP="00000000" w:rsidRDefault="00000000" w:rsidRPr="00000000" w14:paraId="000000E2">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Ql4O+NuB6akxgz0V1CO39BD1cg==">AMUW2mXMrYu+qM0ampzag3m3FYGTF5uCpi5/ngkQh1IjB5OlUqlJ2UTWv/4jTIZbeisLGg6FiVYRaKvUzu0JuOmUVr0oC0Gqeze7EOjb6MPJ2G64NFsVm7M1AfStO4YcSX3+YiMjttLy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