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Pr>
        <w:drawing>
          <wp:inline distB="0" distT="0" distL="0" distR="0">
            <wp:extent cx="1995170" cy="846455"/>
            <wp:effectExtent b="0" l="0" r="0" t="0"/>
            <wp:docPr descr="C:\Users\835120~1\AppData\Local\Temp\Rar$DRa0.613\Marca-2015-Horizontal.png" id="6"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tl w:val="0"/>
        </w:rPr>
        <w:t xml:space="preserve">SUPERINTENDÊNCIA ESTADUAL DE LICITAÇÕES - SUPEL</w:t>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tl w:val="0"/>
        </w:rPr>
        <w:t xml:space="preserve">Complexo Rio Madeira - Ed. Pacaás Novos – 2º Andar.</w:t>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419"/>
          <w:tab w:val="right" w:pos="8838"/>
        </w:tabs>
        <w:spacing w:after="100" w:lineRule="auto"/>
        <w:jc w:val="center"/>
        <w:rPr>
          <w:color w:val="000000"/>
        </w:rPr>
      </w:pPr>
      <w:r w:rsidDel="00000000" w:rsidR="00000000" w:rsidRPr="00000000">
        <w:rPr>
          <w:color w:val="000000"/>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3442020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04/2020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0036.547272/2019-80</w:t>
      </w:r>
    </w:p>
    <w:p w:rsidR="00000000" w:rsidDel="00000000" w:rsidP="00000000" w:rsidRDefault="00000000" w:rsidRPr="00000000" w14:paraId="0000000A">
      <w:pPr>
        <w:tabs>
          <w:tab w:val="left" w:pos="2592"/>
        </w:tabs>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ab/>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PREÇO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 futura e futura e eventual contratação de material de consumo (MEDICAMENTOS - </w:t>
      </w:r>
      <w:r w:rsidDel="00000000" w:rsidR="00000000" w:rsidRPr="00000000">
        <w:rPr>
          <w:rFonts w:ascii="Arial" w:cs="Arial" w:eastAsia="Arial" w:hAnsi="Arial"/>
          <w:b w:val="1"/>
          <w:sz w:val="16"/>
          <w:szCs w:val="16"/>
          <w:rtl w:val="0"/>
        </w:rPr>
        <w:t xml:space="preserve">SÓLIDOS I</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color w:val="000000"/>
          <w:sz w:val="16"/>
          <w:szCs w:val="16"/>
          <w:rtl w:val="0"/>
        </w:rPr>
        <w:t xml:space="preserve">, visando atender as necessidades e demandas das Unidades de Saúde Hospitalares e Ambulatoriais, unidades gerenciadas pela Secretaria de Estado da Saúde - SESAU/RO, por um período de 12 meses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E">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Preços </w:t>
      </w:r>
      <w:r w:rsidDel="00000000" w:rsidR="00000000" w:rsidRPr="00000000">
        <w:rPr>
          <w:rFonts w:ascii="Arial" w:cs="Arial" w:eastAsia="Arial" w:hAnsi="Arial"/>
          <w:sz w:val="16"/>
          <w:szCs w:val="16"/>
          <w:rtl w:val="0"/>
        </w:rPr>
        <w:t xml:space="preserve">futura e futura e eventual contratação de material de consumo (MEDICAMENTOS - </w:t>
      </w:r>
      <w:r w:rsidDel="00000000" w:rsidR="00000000" w:rsidRPr="00000000">
        <w:rPr>
          <w:rFonts w:ascii="Arial" w:cs="Arial" w:eastAsia="Arial" w:hAnsi="Arial"/>
          <w:b w:val="1"/>
          <w:sz w:val="16"/>
          <w:szCs w:val="16"/>
          <w:rtl w:val="0"/>
        </w:rPr>
        <w:t xml:space="preserve">SÓLIDOS I</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color w:val="000000"/>
          <w:sz w:val="16"/>
          <w:szCs w:val="16"/>
          <w:rtl w:val="0"/>
        </w:rPr>
        <w:t xml:space="preserve"> visando atender as necessidades e demandas das Unidades de Saúde Hospitalares e Ambulatoriais, unidades gerenciadas pela Secretaria de Estado da Saúde - SESAU/RO.</w:t>
      </w:r>
    </w:p>
    <w:p w:rsidR="00000000" w:rsidDel="00000000" w:rsidP="00000000" w:rsidRDefault="00000000" w:rsidRPr="00000000" w14:paraId="0000000F">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3.1.</w:t>
      </w:r>
      <w:r w:rsidDel="00000000" w:rsidR="00000000" w:rsidRPr="00000000">
        <w:rPr>
          <w:rFonts w:ascii="Arial" w:cs="Arial" w:eastAsia="Arial" w:hAnsi="Arial"/>
          <w:color w:val="000000"/>
          <w:sz w:val="16"/>
          <w:szCs w:val="16"/>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4. DA ESPECIFICAÇÃO, QUANTIDADE E PREÇO </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4.1.</w:t>
      </w:r>
      <w:r w:rsidDel="00000000" w:rsidR="00000000" w:rsidRPr="00000000">
        <w:rPr>
          <w:rFonts w:ascii="Arial" w:cs="Arial" w:eastAsia="Arial" w:hAnsi="Arial"/>
          <w:color w:val="000000"/>
          <w:sz w:val="16"/>
          <w:szCs w:val="16"/>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pBdr>
          <w:top w:space="0" w:sz="0" w:val="nil"/>
          <w:left w:space="0" w:sz="0" w:val="nil"/>
          <w:bottom w:space="0" w:sz="0" w:val="nil"/>
          <w:right w:space="0" w:sz="0" w:val="nil"/>
          <w:between w:space="0" w:sz="0" w:val="nil"/>
        </w:pBdr>
        <w:ind w:left="360" w:hanging="72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LOCAL/INSTALAÇÃO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 O fornecimento/entrega deverá ser efetuado no </w:t>
      </w:r>
      <w:r w:rsidDel="00000000" w:rsidR="00000000" w:rsidRPr="00000000">
        <w:rPr>
          <w:rFonts w:ascii="Arial" w:cs="Arial" w:eastAsia="Arial" w:hAnsi="Arial"/>
          <w:b w:val="1"/>
          <w:sz w:val="16"/>
          <w:szCs w:val="16"/>
          <w:rtl w:val="0"/>
        </w:rPr>
        <w:t xml:space="preserve">prazo máximo de 30 (trinta) dias corridos</w:t>
      </w:r>
      <w:r w:rsidDel="00000000" w:rsidR="00000000" w:rsidRPr="00000000">
        <w:rPr>
          <w:rFonts w:ascii="Arial" w:cs="Arial" w:eastAsia="Arial" w:hAnsi="Arial"/>
          <w:sz w:val="16"/>
          <w:szCs w:val="16"/>
          <w:rtl w:val="0"/>
        </w:rPr>
        <w:t xml:space="preserve">, na totalidade do objeto contratado, contados a partir do recebimento da Nota de Empenho ou do Instrumento de contrato, se for o caso</w:t>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6.3.1.</w:t>
      </w:r>
      <w:r w:rsidDel="00000000" w:rsidR="00000000" w:rsidRPr="00000000">
        <w:rPr>
          <w:rFonts w:ascii="Arial" w:cs="Arial" w:eastAsia="Arial" w:hAnsi="Arial"/>
          <w:sz w:val="16"/>
          <w:szCs w:val="16"/>
          <w:rtl w:val="0"/>
        </w:rPr>
        <w:t xml:space="preserve"> – A empresa vencedora deverá comunicar a data e o horário previsto para a entrega a SESAU/CGAF, no horário do expediente, com 48 (quarenta e oito) horas de antecedência.</w:t>
      </w: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 DO LOCAL DE ENTREGA:</w:t>
      </w:r>
      <w:r w:rsidDel="00000000" w:rsidR="00000000" w:rsidRPr="00000000">
        <w:rPr>
          <w:rFonts w:ascii="Arial" w:cs="Arial" w:eastAsia="Arial" w:hAnsi="Arial"/>
          <w:b w:val="1"/>
          <w:sz w:val="16"/>
          <w:szCs w:val="16"/>
          <w:rtl w:val="0"/>
        </w:rPr>
        <w:t xml:space="preserve">Central de Abastecimento Farmacêutico – CAF1, sito a Rua Aparício de Moraes nº 4338 – Bairro: Industrial – CEP: 76.821-240 – Porto Velho/RO ou Rua Antonio lacerda, 4197, Industrial - CEP: 76.821-038, horário das 08h00min horas as 13h00min horas, de segunda a sexta-feira.</w:t>
      </w:r>
      <w:r w:rsidDel="00000000" w:rsidR="00000000" w:rsidRPr="00000000">
        <w:rPr>
          <w:rtl w:val="0"/>
        </w:rPr>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F">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8.  DA DOTAÇÃO ORÇAMENTÁRIA</w:t>
      </w:r>
    </w:p>
    <w:p w:rsidR="00000000" w:rsidDel="00000000" w:rsidP="00000000" w:rsidRDefault="00000000" w:rsidRPr="00000000" w14:paraId="00000031">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8.1.</w:t>
      </w:r>
      <w:r w:rsidDel="00000000" w:rsidR="00000000" w:rsidRPr="00000000">
        <w:rPr>
          <w:rFonts w:ascii="Arial" w:cs="Arial" w:eastAsia="Arial" w:hAnsi="Arial"/>
          <w:color w:val="000000"/>
          <w:sz w:val="16"/>
          <w:szCs w:val="16"/>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2">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9. DAS SANÇÕES </w:t>
      </w:r>
    </w:p>
    <w:p w:rsidR="00000000" w:rsidDel="00000000" w:rsidP="00000000" w:rsidRDefault="00000000" w:rsidRPr="00000000" w14:paraId="0000003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000000" w:rsidDel="00000000" w:rsidP="00000000" w:rsidRDefault="00000000" w:rsidRPr="00000000" w14:paraId="0000003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000000" w:rsidDel="00000000" w:rsidP="00000000" w:rsidRDefault="00000000" w:rsidRPr="00000000" w14:paraId="00000037">
      <w:pPr>
        <w:numPr>
          <w:ilvl w:val="0"/>
          <w:numId w:val="1"/>
        </w:numPr>
        <w:spacing w:after="0" w:afterAutospacing="0" w:before="240" w:lineRule="auto"/>
        <w:ind w:left="720" w:hanging="36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moratória de 0,1% (um décimo por cento) do valor do contrato, por dia de atraso do início de sua execução. Acima do limite aqui estabelecido (30 dias), caracterizará inexecução total da obrigação assumida;</w:t>
      </w:r>
    </w:p>
    <w:p w:rsidR="00000000" w:rsidDel="00000000" w:rsidP="00000000" w:rsidRDefault="00000000" w:rsidRPr="00000000" w14:paraId="00000038">
      <w:pPr>
        <w:numPr>
          <w:ilvl w:val="0"/>
          <w:numId w:val="1"/>
        </w:numPr>
        <w:spacing w:after="240" w:before="0" w:beforeAutospacing="0" w:lineRule="auto"/>
        <w:ind w:left="720" w:hanging="36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de 10% (dez por cento) do valor do contrato, no caso de descumprimento de qualquer outra obrigação pactuada;</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000000" w:rsidDel="00000000" w:rsidP="00000000" w:rsidRDefault="00000000" w:rsidRPr="00000000" w14:paraId="0000003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São exemplos de infração administrativa penalizáveis, nos termos da Lei nº 8.666, de 1993, da Lei nº 10.520, de 2002, do Decreto nº 3.555, de 2000, e do Decreto nº 5.450, de 2005, bem como os Decretos Estaduais nº 12.234/2006 e 12.205/2005:</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Inexecução total ou parcial do contrato;</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Apresentação de documentação falsa;</w:t>
      </w:r>
    </w:p>
    <w:p w:rsidR="00000000" w:rsidDel="00000000" w:rsidP="00000000" w:rsidRDefault="00000000" w:rsidRPr="00000000" w14:paraId="0000004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Comportamento inidôneo;</w:t>
      </w:r>
    </w:p>
    <w:p w:rsidR="00000000" w:rsidDel="00000000" w:rsidP="00000000" w:rsidRDefault="00000000" w:rsidRPr="00000000" w14:paraId="0000004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  Fraude fiscal;</w:t>
      </w:r>
    </w:p>
    <w:p w:rsidR="00000000" w:rsidDel="00000000" w:rsidP="00000000" w:rsidRDefault="00000000" w:rsidRPr="00000000" w14:paraId="0000004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  Descumprimento de qualquer dos deveres elencados no Edital ou no Contrato.</w:t>
      </w:r>
    </w:p>
    <w:p w:rsidR="00000000" w:rsidDel="00000000" w:rsidP="00000000" w:rsidRDefault="00000000" w:rsidRPr="00000000" w14:paraId="0000004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4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Após 30 (trinta) dias da falta de execução do objeto, será considerada inexecução total do contrato, o que ensejará a rescisão contratual.</w:t>
      </w:r>
    </w:p>
    <w:p w:rsidR="00000000" w:rsidDel="00000000" w:rsidP="00000000" w:rsidRDefault="00000000" w:rsidRPr="00000000" w14:paraId="0000004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4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4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A sanção será obrigatoriamente registrada no Sistema de Cadastramento Unificado de Fornecedores – SICAF, bem como em sistemas Estaduais.</w:t>
      </w:r>
    </w:p>
    <w:p w:rsidR="00000000" w:rsidDel="00000000" w:rsidP="00000000" w:rsidRDefault="00000000" w:rsidRPr="00000000" w14:paraId="0000004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00000" w:rsidDel="00000000" w:rsidP="00000000" w:rsidRDefault="00000000" w:rsidRPr="00000000" w14:paraId="0000004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4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Tenham praticado atos ilícitos visando a frustrar os objetivos da licitação;</w:t>
      </w:r>
    </w:p>
    <w:p w:rsidR="00000000" w:rsidDel="00000000" w:rsidP="00000000" w:rsidRDefault="00000000" w:rsidRPr="00000000" w14:paraId="0000004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Demonstrem não possuir idoneidade para contratar com a Administração em virtude de atos ilícitos praticados;</w:t>
      </w:r>
    </w:p>
    <w:p w:rsidR="00000000" w:rsidDel="00000000" w:rsidP="00000000" w:rsidRDefault="00000000" w:rsidRPr="00000000" w14:paraId="0000004F">
      <w:pPr>
        <w:spacing w:after="120" w:before="120" w:lineRule="auto"/>
        <w:ind w:left="0" w:right="12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50">
      <w:pPr>
        <w:spacing w:after="120" w:before="120" w:lineRule="auto"/>
        <w:ind w:right="120"/>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51">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52">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53">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10.3. </w:t>
      </w:r>
      <w:r w:rsidDel="00000000" w:rsidR="00000000" w:rsidRPr="00000000">
        <w:rPr>
          <w:rFonts w:ascii="Arial" w:cs="Arial" w:eastAsia="Arial" w:hAnsi="Arial"/>
          <w:color w:val="000000"/>
          <w:sz w:val="16"/>
          <w:szCs w:val="16"/>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left" w:pos="142"/>
        </w:tabs>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10.4.</w:t>
      </w:r>
      <w:r w:rsidDel="00000000" w:rsidR="00000000" w:rsidRPr="00000000">
        <w:rPr>
          <w:rFonts w:ascii="Arial" w:cs="Arial" w:eastAsia="Arial" w:hAnsi="Arial"/>
          <w:color w:val="000000"/>
          <w:sz w:val="16"/>
          <w:szCs w:val="16"/>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left" w:pos="142"/>
        </w:tabs>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10.5.</w:t>
      </w:r>
      <w:r w:rsidDel="00000000" w:rsidR="00000000" w:rsidRPr="00000000">
        <w:rPr>
          <w:rFonts w:ascii="Arial" w:cs="Arial" w:eastAsia="Arial" w:hAnsi="Arial"/>
          <w:color w:val="000000"/>
          <w:sz w:val="16"/>
          <w:szCs w:val="16"/>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5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57">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58">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59">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11.1.</w:t>
      </w:r>
      <w:r w:rsidDel="00000000" w:rsidR="00000000" w:rsidRPr="00000000">
        <w:rPr>
          <w:rFonts w:ascii="Arial" w:cs="Arial" w:eastAsia="Arial" w:hAnsi="Arial"/>
          <w:color w:val="000000"/>
          <w:sz w:val="16"/>
          <w:szCs w:val="16"/>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11.2.</w:t>
      </w:r>
      <w:r w:rsidDel="00000000" w:rsidR="00000000" w:rsidRPr="00000000">
        <w:rPr>
          <w:rFonts w:ascii="Arial" w:cs="Arial" w:eastAsia="Arial" w:hAnsi="Arial"/>
          <w:color w:val="000000"/>
          <w:sz w:val="16"/>
          <w:szCs w:val="16"/>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11.3.</w:t>
      </w:r>
      <w:r w:rsidDel="00000000" w:rsidR="00000000" w:rsidRPr="00000000">
        <w:rPr>
          <w:rFonts w:ascii="Arial" w:cs="Arial" w:eastAsia="Arial" w:hAnsi="Arial"/>
          <w:color w:val="000000"/>
          <w:sz w:val="16"/>
          <w:szCs w:val="16"/>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11.4.</w:t>
      </w:r>
      <w:r w:rsidDel="00000000" w:rsidR="00000000" w:rsidRPr="00000000">
        <w:rPr>
          <w:rFonts w:ascii="Arial" w:cs="Arial" w:eastAsia="Arial" w:hAnsi="Arial"/>
          <w:color w:val="000000"/>
          <w:sz w:val="16"/>
          <w:szCs w:val="16"/>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5D">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 </w:t>
      </w:r>
      <w:r w:rsidDel="00000000" w:rsidR="00000000" w:rsidRPr="00000000">
        <w:rPr>
          <w:rFonts w:ascii="Arial" w:cs="Arial" w:eastAsia="Arial" w:hAnsi="Arial"/>
          <w:color w:val="000000"/>
          <w:sz w:val="16"/>
          <w:szCs w:val="16"/>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11.5.1.</w:t>
      </w:r>
      <w:r w:rsidDel="00000000" w:rsidR="00000000" w:rsidRPr="00000000">
        <w:rPr>
          <w:rFonts w:ascii="Arial" w:cs="Arial" w:eastAsia="Arial" w:hAnsi="Arial"/>
          <w:color w:val="000000"/>
          <w:sz w:val="16"/>
          <w:szCs w:val="16"/>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5F">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11.5.2.</w:t>
      </w:r>
      <w:r w:rsidDel="00000000" w:rsidR="00000000" w:rsidRPr="00000000">
        <w:rPr>
          <w:rFonts w:ascii="Arial" w:cs="Arial" w:eastAsia="Arial" w:hAnsi="Arial"/>
          <w:color w:val="000000"/>
          <w:sz w:val="16"/>
          <w:szCs w:val="16"/>
          <w:rtl w:val="0"/>
        </w:rPr>
        <w:t xml:space="preserve"> Convocar os demais fornecedores para assegurar igual oportunidade de negociação;</w:t>
      </w:r>
    </w:p>
    <w:p w:rsidR="00000000" w:rsidDel="00000000" w:rsidP="00000000" w:rsidRDefault="00000000" w:rsidRPr="00000000" w14:paraId="00000060">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11.5.3.</w:t>
      </w:r>
      <w:r w:rsidDel="00000000" w:rsidR="00000000" w:rsidRPr="00000000">
        <w:rPr>
          <w:rFonts w:ascii="Arial" w:cs="Arial" w:eastAsia="Arial" w:hAnsi="Arial"/>
          <w:color w:val="000000"/>
          <w:sz w:val="16"/>
          <w:szCs w:val="16"/>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61">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62">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6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6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6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66">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12.4.</w:t>
      </w:r>
      <w:r w:rsidDel="00000000" w:rsidR="00000000" w:rsidRPr="00000000">
        <w:rPr>
          <w:rFonts w:ascii="Arial" w:cs="Arial" w:eastAsia="Arial" w:hAnsi="Arial"/>
          <w:color w:val="000000"/>
          <w:sz w:val="16"/>
          <w:szCs w:val="16"/>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6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68">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12.6.</w:t>
      </w:r>
      <w:r w:rsidDel="00000000" w:rsidR="00000000" w:rsidRPr="00000000">
        <w:rPr>
          <w:rFonts w:ascii="Arial" w:cs="Arial" w:eastAsia="Arial" w:hAnsi="Arial"/>
          <w:color w:val="000000"/>
          <w:sz w:val="16"/>
          <w:szCs w:val="16"/>
          <w:rtl w:val="0"/>
        </w:rPr>
        <w:t xml:space="preserve"> Respeitar e fazer cumprir a legislação de segurança e saúde no trabalho, previstas nas normas regulamentadoras pertinentes;</w:t>
      </w:r>
    </w:p>
    <w:p w:rsidR="00000000" w:rsidDel="00000000" w:rsidP="00000000" w:rsidRDefault="00000000" w:rsidRPr="00000000" w14:paraId="0000006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6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6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6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6D">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6E">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6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7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7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7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7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7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75">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6">
      <w:pPr>
        <w:tabs>
          <w:tab w:val="left" w:pos="1134"/>
        </w:tabs>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 DA ALTERAÇÃO DAS MARCAS DOS ITENS REGISTRADOS</w:t>
      </w:r>
    </w:p>
    <w:p w:rsidR="00000000" w:rsidDel="00000000" w:rsidP="00000000" w:rsidRDefault="00000000" w:rsidRPr="00000000" w14:paraId="0000007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14.1.</w:t>
      </w:r>
      <w:r w:rsidDel="00000000" w:rsidR="00000000" w:rsidRPr="00000000">
        <w:rPr>
          <w:rFonts w:ascii="Arial" w:cs="Arial" w:eastAsia="Arial" w:hAnsi="Arial"/>
          <w:sz w:val="16"/>
          <w:szCs w:val="16"/>
          <w:rtl w:val="0"/>
        </w:rPr>
        <w:t xml:space="preserve"> A marca/laboratório do item registrado poderá ser alterada, desde que seja por outra marca compatível em qualidade com a inicialmente ofertada, de acordo com a decisão nº 142/12/GCPCN.</w:t>
      </w:r>
    </w:p>
    <w:p w:rsidR="00000000" w:rsidDel="00000000" w:rsidP="00000000" w:rsidRDefault="00000000" w:rsidRPr="00000000" w14:paraId="0000007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14.2. </w:t>
      </w:r>
      <w:r w:rsidDel="00000000" w:rsidR="00000000" w:rsidRPr="00000000">
        <w:rPr>
          <w:rFonts w:ascii="Arial" w:cs="Arial" w:eastAsia="Arial" w:hAnsi="Arial"/>
          <w:sz w:val="16"/>
          <w:szCs w:val="16"/>
          <w:rtl w:val="0"/>
        </w:rPr>
        <w:t xml:space="preserve">A alteração deverá ser em decorrência de eventual fato superveniente, que impeça a detentora de cumprir com a entrega da marca/laboratório apresentada na proposta inicial, devidamente justificada e comprovada.</w:t>
      </w:r>
    </w:p>
    <w:p w:rsidR="00000000" w:rsidDel="00000000" w:rsidP="00000000" w:rsidRDefault="00000000" w:rsidRPr="00000000" w14:paraId="0000007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w:t>
      </w:r>
      <w:r w:rsidDel="00000000" w:rsidR="00000000" w:rsidRPr="00000000">
        <w:rPr>
          <w:rFonts w:ascii="Arial" w:cs="Arial" w:eastAsia="Arial" w:hAnsi="Arial"/>
          <w:sz w:val="16"/>
          <w:szCs w:val="16"/>
          <w:rtl w:val="0"/>
        </w:rPr>
        <w:t xml:space="preserve"> Para substituição da marca registrada a empresa detentora deverá:</w:t>
      </w:r>
    </w:p>
    <w:p w:rsidR="00000000" w:rsidDel="00000000" w:rsidP="00000000" w:rsidRDefault="00000000" w:rsidRPr="00000000" w14:paraId="0000007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14.3.1.</w:t>
      </w:r>
      <w:r w:rsidDel="00000000" w:rsidR="00000000" w:rsidRPr="00000000">
        <w:rPr>
          <w:rFonts w:ascii="Arial" w:cs="Arial" w:eastAsia="Arial" w:hAnsi="Arial"/>
          <w:sz w:val="16"/>
          <w:szCs w:val="16"/>
          <w:rtl w:val="0"/>
        </w:rPr>
        <w:t xml:space="preserve"> Justificar a troca com a devida documentação, para análise do órgão gerenciador e equipe técnica da Diretoria de Assistência Farmacêutica - DAF, devendo apresentar </w:t>
      </w:r>
      <w:r w:rsidDel="00000000" w:rsidR="00000000" w:rsidRPr="00000000">
        <w:rPr>
          <w:rFonts w:ascii="Arial" w:cs="Arial" w:eastAsia="Arial" w:hAnsi="Arial"/>
          <w:i w:val="1"/>
          <w:sz w:val="16"/>
          <w:szCs w:val="16"/>
          <w:u w:val="single"/>
          <w:rtl w:val="0"/>
        </w:rPr>
        <w:t xml:space="preserve">amostra</w:t>
      </w:r>
      <w:r w:rsidDel="00000000" w:rsidR="00000000" w:rsidRPr="00000000">
        <w:rPr>
          <w:rFonts w:ascii="Arial" w:cs="Arial" w:eastAsia="Arial" w:hAnsi="Arial"/>
          <w:sz w:val="16"/>
          <w:szCs w:val="16"/>
          <w:rtl w:val="0"/>
        </w:rPr>
        <w:t xml:space="preserve"> do produto da nova marca/laboratório ofertada, bem como registro do produto na ANVISA e Certificado de Boas Práticas vigente.</w:t>
      </w:r>
    </w:p>
    <w:p w:rsidR="00000000" w:rsidDel="00000000" w:rsidP="00000000" w:rsidRDefault="00000000" w:rsidRPr="00000000" w14:paraId="0000007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14.3.2.</w:t>
      </w:r>
      <w:r w:rsidDel="00000000" w:rsidR="00000000" w:rsidRPr="00000000">
        <w:rPr>
          <w:rFonts w:ascii="Arial" w:cs="Arial" w:eastAsia="Arial" w:hAnsi="Arial"/>
          <w:sz w:val="16"/>
          <w:szCs w:val="16"/>
          <w:rtl w:val="0"/>
        </w:rPr>
        <w:t xml:space="preserve"> O órgão gerenciador da ata de registro de preços, de posse da documentação apresentada, analisará o pedido, e com base no parecer técnico, poderá deferi-lo ou negá-lo.</w:t>
      </w:r>
    </w:p>
    <w:p w:rsidR="00000000" w:rsidDel="00000000" w:rsidP="00000000" w:rsidRDefault="00000000" w:rsidRPr="00000000" w14:paraId="0000007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14.3.3.</w:t>
      </w:r>
      <w:r w:rsidDel="00000000" w:rsidR="00000000" w:rsidRPr="00000000">
        <w:rPr>
          <w:rFonts w:ascii="Arial" w:cs="Arial" w:eastAsia="Arial" w:hAnsi="Arial"/>
          <w:sz w:val="16"/>
          <w:szCs w:val="16"/>
          <w:rtl w:val="0"/>
        </w:rPr>
        <w:t xml:space="preserve"> Em qualquer caso, a troca de marca não poderá ser efetivada se a nova marca ofertada for incompatível ou de qualidade e quantidade inferior a inicialmente ofertada.</w:t>
      </w:r>
    </w:p>
    <w:p w:rsidR="00000000" w:rsidDel="00000000" w:rsidP="00000000" w:rsidRDefault="00000000" w:rsidRPr="00000000" w14:paraId="0000007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14.3.4.</w:t>
      </w:r>
      <w:r w:rsidDel="00000000" w:rsidR="00000000" w:rsidRPr="00000000">
        <w:rPr>
          <w:rFonts w:ascii="Arial" w:cs="Arial" w:eastAsia="Arial" w:hAnsi="Arial"/>
          <w:sz w:val="16"/>
          <w:szCs w:val="16"/>
          <w:rtl w:val="0"/>
        </w:rPr>
        <w:t xml:space="preserve"> Quaisquer custos adicionais oriundo da alteração da marca/laboratório ficarão por conta da detentora do registro de preços, ficando vedada a cobrança de custos adicionais a Administração Pública.</w:t>
      </w:r>
    </w:p>
    <w:p w:rsidR="00000000" w:rsidDel="00000000" w:rsidP="00000000" w:rsidRDefault="00000000" w:rsidRPr="00000000" w14:paraId="0000007E">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DOS ÓRGÃOS PARTICIPANTES:</w:t>
      </w:r>
    </w:p>
    <w:p w:rsidR="00000000" w:rsidDel="00000000" w:rsidP="00000000" w:rsidRDefault="00000000" w:rsidRPr="00000000" w14:paraId="00000080">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É participante desta ata o seguinte órgão pertencente à Administração Pública do Estado de Rondônia:</w:t>
      </w:r>
    </w:p>
    <w:p w:rsidR="00000000" w:rsidDel="00000000" w:rsidP="00000000" w:rsidRDefault="00000000" w:rsidRPr="00000000" w14:paraId="0000008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Secretaria de Estado da Saúde</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82">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3">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16.  DISPOSIÇÕES GERAIS</w:t>
      </w:r>
    </w:p>
    <w:p w:rsidR="00000000" w:rsidDel="00000000" w:rsidP="00000000" w:rsidRDefault="00000000" w:rsidRPr="00000000" w14:paraId="0000008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8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8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8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88">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9">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8A">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8B">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8C">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8D">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8E">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8F">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0">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9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92">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93">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4">
    <w:pPr>
      <w:pBdr>
        <w:top w:space="0" w:sz="0" w:val="nil"/>
        <w:left w:space="0" w:sz="0" w:val="nil"/>
        <w:bottom w:space="0" w:sz="0" w:val="nil"/>
        <w:right w:space="0" w:sz="0" w:val="nil"/>
        <w:between w:space="0" w:sz="0" w:val="nil"/>
      </w:pBdr>
      <w:tabs>
        <w:tab w:val="center" w:pos="4419"/>
        <w:tab w:val="right" w:pos="8838"/>
      </w:tabs>
      <w:jc w:val="center"/>
      <w:rPr>
        <w:rFonts w:ascii="Book Antiqua" w:cs="Book Antiqua" w:eastAsia="Book Antiqua" w:hAnsi="Book Antiqua"/>
        <w:b w:val="1"/>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paragraph" w:styleId="Ttulo6">
    <w:name w:val="heading 6"/>
    <w:basedOn w:val="normal0"/>
    <w:next w:val="normal0"/>
    <w:rsid w:val="00481389"/>
    <w:pPr>
      <w:keepNext w:val="1"/>
      <w:keepLines w:val="1"/>
      <w:spacing w:after="40" w:before="200"/>
      <w:outlineLvl w:val="5"/>
    </w:pPr>
    <w:rPr>
      <w:b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normal0" w:customStyle="1">
    <w:name w:val="normal"/>
    <w:rsid w:val="00481389"/>
  </w:style>
  <w:style w:type="table" w:styleId="TableNormal" w:customStyle="1">
    <w:name w:val="Table Normal"/>
    <w:rsid w:val="00481389"/>
    <w:tblPr>
      <w:tblCellMar>
        <w:top w:w="0.0" w:type="dxa"/>
        <w:left w:w="0.0" w:type="dxa"/>
        <w:bottom w:w="0.0" w:type="dxa"/>
        <w:right w:w="0.0" w:type="dxa"/>
      </w:tblCellMar>
    </w:tbl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BF2A50"/>
    <w:pPr>
      <w:spacing w:after="100" w:afterAutospacing="1" w:before="100" w:beforeAutospacing="1"/>
    </w:pPr>
    <w:rPr>
      <w:sz w:val="24"/>
      <w:szCs w:val="24"/>
    </w:rPr>
  </w:style>
  <w:style w:type="paragraph" w:styleId="citacao" w:customStyle="1">
    <w:name w:val="citacao"/>
    <w:basedOn w:val="Normal"/>
    <w:rsid w:val="00BF2A50"/>
    <w:pPr>
      <w:spacing w:after="100" w:afterAutospacing="1" w:before="100" w:beforeAutospacing="1"/>
    </w:pPr>
    <w:rPr>
      <w:sz w:val="24"/>
      <w:szCs w:val="24"/>
    </w:rPr>
  </w:style>
  <w:style w:type="paragraph" w:styleId="tabelatextoalinhadoesquerda" w:customStyle="1">
    <w:name w:val="tabela_texto_alinhado_esquerda"/>
    <w:basedOn w:val="Normal"/>
    <w:rsid w:val="00A3410F"/>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B07044"/>
    <w:pPr>
      <w:spacing w:after="100" w:afterAutospacing="1" w:before="100" w:beforeAutospacing="1"/>
    </w:pPr>
    <w:rPr>
      <w:sz w:val="24"/>
      <w:szCs w:val="24"/>
    </w:rPr>
  </w:style>
  <w:style w:type="paragraph" w:styleId="Subttulo">
    <w:name w:val="Subtitle"/>
    <w:basedOn w:val="Normal"/>
    <w:next w:val="Normal"/>
    <w:rsid w:val="00481389"/>
    <w:pPr>
      <w:keepNext w:val="1"/>
      <w:keepLines w:val="1"/>
      <w:spacing w:after="80" w:before="360"/>
    </w:pPr>
    <w:rPr>
      <w:rFonts w:ascii="Georgia" w:cs="Georgia" w:eastAsia="Georgia" w:hAnsi="Georgia"/>
      <w:i w:val="1"/>
      <w:color w:val="666666"/>
      <w:sz w:val="48"/>
      <w:szCs w:val="48"/>
    </w:rPr>
  </w:style>
  <w:style w:type="table" w:styleId="a" w:customStyle="1">
    <w:basedOn w:val="TableNormal"/>
    <w:rsid w:val="00481389"/>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H3puJptuWLbAZrNVed0XRCmCbA==">AMUW2mXys7AgbcsVmT1kmWM4wm3ps/ZD8LejugEjNJZWEGmrqUwJKE7p9tM8zcBht9bD+eTJgMOMCMg2o5+eEfhDYEg2qH6fBBaJplnkbTvjHhN1BM2V/p448QoN9qE1/rXJf7TmY+iuYyoJzFgQwpBBBzYkzrtdIg==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2020-05-15T13:32:00Z</dcterms:created>
  <dc:creator>SESAU</dc:creator>
</cp:coreProperties>
</file>