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Pr>
        <w:drawing>
          <wp:inline distB="0" distT="0" distL="0" distR="0">
            <wp:extent cx="1995170" cy="846455"/>
            <wp:effectExtent b="0" l="0" r="0" t="0"/>
            <wp:docPr descr="C:\Users\835120~1\AppData\Local\Temp\Rar$DRa0.613\Marca-2015-Horizontal.png" id="6"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SUPERINTENDÊNCIA ESTADUAL DE LICITAÇÕES - SUPEL</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Complexo Rio Madeira - Ed. Pacaás Novos – 2º Andar.</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419"/>
          <w:tab w:val="right" w:pos="8838"/>
        </w:tabs>
        <w:spacing w:after="100" w:lineRule="auto"/>
        <w:jc w:val="center"/>
        <w:rPr>
          <w:color w:val="000000"/>
        </w:rPr>
      </w:pPr>
      <w:r w:rsidDel="00000000" w:rsidR="00000000" w:rsidRPr="00000000">
        <w:rPr>
          <w:color w:val="000000"/>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ATA DE REGISTRO DE PREÇOS N° 343/2020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PREGÃO ELETRÔNICO Nº 228/2020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PROCESSO Nº 0036.014977/2020-59</w:t>
      </w:r>
    </w:p>
    <w:p w:rsidR="00000000" w:rsidDel="00000000" w:rsidP="00000000" w:rsidRDefault="00000000" w:rsidRPr="00000000" w14:paraId="0000000A">
      <w:pPr>
        <w:tabs>
          <w:tab w:val="left" w:pos="2592"/>
        </w:tabs>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ab/>
      </w:r>
    </w:p>
    <w:p w:rsidR="00000000" w:rsidDel="00000000" w:rsidP="00000000" w:rsidRDefault="00000000" w:rsidRPr="00000000" w14:paraId="0000000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de futura e eventual contratação de material de consumo (MEDICAMENTOS - SÓLIDOS II), visando atender as necessidades e demandas das Unidades de Saúde Hospitalares e Ambulatoriais, unidades gerenciadas pela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0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w:t>
      </w:r>
    </w:p>
    <w:p w:rsidR="00000000" w:rsidDel="00000000" w:rsidP="00000000" w:rsidRDefault="00000000" w:rsidRPr="00000000" w14:paraId="0000000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Registro de Preços  futura e eventual contratação de material de consumo (MEDICAMENTOS - SÓLIDOS II), visando atender as necessidades e demandas das Unidades de Saúde Hospitalares e Ambulatoriais, unidades gerenciadas pela Secretaria de Estado da Saúde - SESAU/RO.</w:t>
      </w:r>
    </w:p>
    <w:p w:rsidR="00000000" w:rsidDel="00000000" w:rsidP="00000000" w:rsidRDefault="00000000" w:rsidRPr="00000000" w14:paraId="0000000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1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2.1. O presente Registro de Preços terá validade de 12 (doze) meses, contados a partir de sua publicação no Diário Oficial do Estado.</w:t>
      </w:r>
    </w:p>
    <w:p w:rsidR="00000000" w:rsidDel="00000000" w:rsidP="00000000" w:rsidRDefault="00000000" w:rsidRPr="00000000" w14:paraId="0000001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2.1.1.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1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 DA GERÊNCIA DA PRESENTE ATA DE REGISTRO DE PREÇOS</w:t>
      </w:r>
    </w:p>
    <w:p w:rsidR="00000000" w:rsidDel="00000000" w:rsidP="00000000" w:rsidRDefault="00000000" w:rsidRPr="00000000" w14:paraId="0000001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000000" w:rsidDel="00000000" w:rsidP="00000000" w:rsidRDefault="00000000" w:rsidRPr="00000000" w14:paraId="0000001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1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 DA ESPECIFICAÇÃO, QUANTIDADE E PREÇO</w:t>
      </w:r>
    </w:p>
    <w:p w:rsidR="00000000" w:rsidDel="00000000" w:rsidP="00000000" w:rsidRDefault="00000000" w:rsidRPr="00000000" w14:paraId="0000001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4.1. O preço, a quantidade, o fornecedor e a especificação do item registrado nesta Ata, encontram-se indicados no Anexo I deste instrumento.</w:t>
      </w:r>
    </w:p>
    <w:p w:rsidR="00000000" w:rsidDel="00000000" w:rsidP="00000000" w:rsidRDefault="00000000" w:rsidRPr="00000000" w14:paraId="0000001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1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 PRAZOS E CONDIÇÕES DE FORNECIMENTO</w:t>
      </w:r>
    </w:p>
    <w:p w:rsidR="00000000" w:rsidDel="00000000" w:rsidP="00000000" w:rsidRDefault="00000000" w:rsidRPr="00000000" w14:paraId="0000001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DETENTORA do registro de preços se obriga, nos termos do Edital e deste instrumento, a:</w:t>
      </w:r>
    </w:p>
    <w:p w:rsidR="00000000" w:rsidDel="00000000" w:rsidP="00000000" w:rsidRDefault="00000000" w:rsidRPr="00000000" w14:paraId="0000001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5.1. Retirar a Nota de Empenho junto ao órgão solicitante no prazo de até 05 (cinco) dias, contados da convocação;</w:t>
      </w:r>
    </w:p>
    <w:p w:rsidR="00000000" w:rsidDel="00000000" w:rsidP="00000000" w:rsidRDefault="00000000" w:rsidRPr="00000000" w14:paraId="0000001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5.2. Iniciar o fornecimento do objeto dessa Ata, conforme prazo estabelecido no Termo de Referência e edital de licitações.</w:t>
      </w:r>
    </w:p>
    <w:p w:rsidR="00000000" w:rsidDel="00000000" w:rsidP="00000000" w:rsidRDefault="00000000" w:rsidRPr="00000000" w14:paraId="0000001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5.3.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5.4. 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2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LOCAL/INSTALAÇÃO DE ENTREGA</w:t>
      </w:r>
    </w:p>
    <w:p w:rsidR="00000000" w:rsidDel="00000000" w:rsidP="00000000" w:rsidRDefault="00000000" w:rsidRPr="00000000" w14:paraId="0000002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6.1.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6.3. DO PRAZO DE ENTREGA:  O fornecimento/entrega deverá ser efetuado no prazo máximo de 30 (trinta) dias corridos, na totalidade do objeto contratado, contados a partir do recebimento da Nota de Empenho ou do Instrumento de contrato, se for o caso;</w:t>
      </w:r>
    </w:p>
    <w:p w:rsidR="00000000" w:rsidDel="00000000" w:rsidP="00000000" w:rsidRDefault="00000000" w:rsidRPr="00000000" w14:paraId="0000002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 DO LOCAL DE ENTREGA: Central de Abastecimento Farmacêutico – CAF1, sito a Rua Aparício de Moraes nº 4338 – Bairro: Industrial – CEP: 76.821-240 – Porto Velho/RO ou Rua Antonio lacerda, 4197, Industrial - CEP: 76.821-038, horário das 08h00min horas as 13h00min horas, de segunda a sexta-feira..</w:t>
      </w:r>
    </w:p>
    <w:p w:rsidR="00000000" w:rsidDel="00000000" w:rsidP="00000000" w:rsidRDefault="00000000" w:rsidRPr="00000000" w14:paraId="0000002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2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r>
    </w:p>
    <w:p w:rsidR="00000000" w:rsidDel="00000000" w:rsidP="00000000" w:rsidRDefault="00000000" w:rsidRPr="00000000" w14:paraId="0000002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7.1. A empresa detentora da Ata apresentará a Gerência Financeira do Órgão requisitante a nota fiscal referente ao fornecimento efetuado.</w:t>
      </w:r>
    </w:p>
    <w:p w:rsidR="00000000" w:rsidDel="00000000" w:rsidP="00000000" w:rsidRDefault="00000000" w:rsidRPr="00000000" w14:paraId="0000002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7.2. O respectivo Órgão terá o prazo de 10 (dez) dias úteis, a contar da apresentação da nota fiscal para aceitá-la ou rejeitá-la.</w:t>
      </w:r>
    </w:p>
    <w:p w:rsidR="00000000" w:rsidDel="00000000" w:rsidP="00000000" w:rsidRDefault="00000000" w:rsidRPr="00000000" w14:paraId="0000002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7.3. A nota fiscal não aprovada será devolvida à empresa detentora da Ata para as necessárias correções, com as informações que motivaram sua rejeição, contando-se o prazo estabelecido no subitem 6.2. a partir da data de sua reapresentação.</w:t>
      </w:r>
    </w:p>
    <w:p w:rsidR="00000000" w:rsidDel="00000000" w:rsidP="00000000" w:rsidRDefault="00000000" w:rsidRPr="00000000" w14:paraId="0000002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7.4. A devolução da nota fiscal não aprovada, em hipótese alguma, servirá de pretexto para que a empresa detentora da Ata suspenda quaisquer fornecimentos.</w:t>
      </w:r>
    </w:p>
    <w:p w:rsidR="00000000" w:rsidDel="00000000" w:rsidP="00000000" w:rsidRDefault="00000000" w:rsidRPr="00000000" w14:paraId="0000002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7.5. O Estado de Rondônia, através dos órgãos requisitantes, providenciará o pagamento no prazo de até 30 (trinta) dias corridos, contada da data do aceite da nota fiscal.</w:t>
      </w:r>
    </w:p>
    <w:p w:rsidR="00000000" w:rsidDel="00000000" w:rsidP="00000000" w:rsidRDefault="00000000" w:rsidRPr="00000000" w14:paraId="0000002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2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  DA DOTAÇÃO ORÇAMENTÁRIA</w:t>
      </w:r>
    </w:p>
    <w:p w:rsidR="00000000" w:rsidDel="00000000" w:rsidP="00000000" w:rsidRDefault="00000000" w:rsidRPr="00000000" w14:paraId="0000002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3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00000" w:rsidDel="00000000" w:rsidP="00000000" w:rsidRDefault="00000000" w:rsidRPr="00000000" w14:paraId="0000003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000000" w:rsidDel="00000000" w:rsidP="00000000" w:rsidRDefault="00000000" w:rsidRPr="00000000" w14:paraId="00000035">
      <w:pPr>
        <w:numPr>
          <w:ilvl w:val="0"/>
          <w:numId w:val="1"/>
        </w:numPr>
        <w:spacing w:after="0" w:afterAutospacing="0" w:before="24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moratória de 0,1% (um décimo por cento) do valor do contrato, por dia de atraso do início de sua execução. Acima do limite aqui estabelecido (30 dias), caracterizará inexecução total da obrigação assumida;</w:t>
      </w:r>
    </w:p>
    <w:p w:rsidR="00000000" w:rsidDel="00000000" w:rsidP="00000000" w:rsidRDefault="00000000" w:rsidRPr="00000000" w14:paraId="00000036">
      <w:pPr>
        <w:numPr>
          <w:ilvl w:val="0"/>
          <w:numId w:val="1"/>
        </w:numPr>
        <w:spacing w:after="240" w:before="0" w:beforeAutospacing="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de 10% (dez por cento) do valor do contrato, no caso de descumprimento de qualquer outra obrigação pactuada;</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u w:val="single"/>
        </w:rPr>
      </w:pPr>
      <w:r w:rsidDel="00000000" w:rsidR="00000000" w:rsidRPr="00000000">
        <w:rPr>
          <w:rFonts w:ascii="Arial" w:cs="Arial" w:eastAsia="Arial" w:hAnsi="Arial"/>
          <w:b w:val="1"/>
          <w:sz w:val="16"/>
          <w:szCs w:val="16"/>
          <w:u w:val="single"/>
          <w:rtl w:val="0"/>
        </w:rPr>
        <w:t xml:space="preserve">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w:t>
      </w:r>
      <w:r w:rsidDel="00000000" w:rsidR="00000000" w:rsidRPr="00000000">
        <w:rPr>
          <w:rFonts w:ascii="Arial" w:cs="Arial" w:eastAsia="Arial" w:hAnsi="Arial"/>
          <w:b w:val="1"/>
          <w:sz w:val="16"/>
          <w:szCs w:val="16"/>
          <w:rtl w:val="0"/>
        </w:rPr>
        <w:t xml:space="preserve"> -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u w:val="single"/>
        </w:rPr>
      </w:pPr>
      <w:r w:rsidDel="00000000" w:rsidR="00000000" w:rsidRPr="00000000">
        <w:rPr>
          <w:rFonts w:ascii="Arial" w:cs="Arial" w:eastAsia="Arial" w:hAnsi="Arial"/>
          <w:b w:val="1"/>
          <w:sz w:val="16"/>
          <w:szCs w:val="16"/>
          <w:u w:val="single"/>
          <w:rtl w:val="0"/>
        </w:rPr>
        <w:t xml:space="preserve">9.9. São exemplos de infração administrativa penalizáveis, nos termos da Lei nº 8.666, de 1993, da Lei nº 10.520, de 2002, do Decreto nº 3.555, de 2000, e do Decreto nº 10.024, de 2019, bem como os Decretos Estaduais nº 12.234/2006 e 12.205/2005:</w:t>
      </w:r>
    </w:p>
    <w:p w:rsidR="00000000" w:rsidDel="00000000" w:rsidP="00000000" w:rsidRDefault="00000000" w:rsidRPr="00000000" w14:paraId="0000003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Inexecução total ou parcial do contrato;</w:t>
      </w:r>
    </w:p>
    <w:p w:rsidR="00000000" w:rsidDel="00000000" w:rsidP="00000000" w:rsidRDefault="00000000" w:rsidRPr="00000000" w14:paraId="0000003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Apresentação de documentação falsa;</w:t>
      </w:r>
    </w:p>
    <w:p w:rsidR="00000000" w:rsidDel="00000000" w:rsidP="00000000" w:rsidRDefault="00000000" w:rsidRPr="00000000" w14:paraId="0000003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Comportamento inidôneo;</w:t>
      </w:r>
    </w:p>
    <w:p w:rsidR="00000000" w:rsidDel="00000000" w:rsidP="00000000" w:rsidRDefault="00000000" w:rsidRPr="00000000" w14:paraId="0000004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Fraude fiscal;</w:t>
      </w:r>
    </w:p>
    <w:p w:rsidR="00000000" w:rsidDel="00000000" w:rsidP="00000000" w:rsidRDefault="00000000" w:rsidRPr="00000000" w14:paraId="0000004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  Descumprimento de qualquer dos deveres elencados no Edital ou no Contrato.</w:t>
      </w:r>
    </w:p>
    <w:p w:rsidR="00000000" w:rsidDel="00000000" w:rsidP="00000000" w:rsidRDefault="00000000" w:rsidRPr="00000000" w14:paraId="0000004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4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4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4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9.17.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4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4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Tenham praticado atos ilícitos visando a frustrar os objetivos da licitação;</w:t>
      </w:r>
    </w:p>
    <w:p w:rsidR="00000000" w:rsidDel="00000000" w:rsidP="00000000" w:rsidRDefault="00000000" w:rsidRPr="00000000" w14:paraId="0000004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4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 DA UTILIZAÇÃO DA ATA</w:t>
      </w:r>
    </w:p>
    <w:p w:rsidR="00000000" w:rsidDel="00000000" w:rsidP="00000000" w:rsidRDefault="00000000" w:rsidRPr="00000000" w14:paraId="0000004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0000" w:rsidDel="00000000" w:rsidP="00000000" w:rsidRDefault="00000000" w:rsidRPr="00000000" w14:paraId="0000004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10.2. É facultada aos órgãos s ou entidades municipais, distritais ou estaduais a adesão a ata de registro de preços da Administração Pública Estadual.</w:t>
      </w:r>
    </w:p>
    <w:p w:rsidR="00000000" w:rsidDel="00000000" w:rsidP="00000000" w:rsidRDefault="00000000" w:rsidRPr="00000000" w14:paraId="0000005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000000" w:rsidDel="00000000" w:rsidP="00000000" w:rsidRDefault="00000000" w:rsidRPr="00000000" w14:paraId="0000005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10.4.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5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000000" w:rsidDel="00000000" w:rsidP="00000000" w:rsidRDefault="00000000" w:rsidRPr="00000000" w14:paraId="0000005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10.6. Caberá ao órgão que se utilizar da ata, verificar a vantagem econômica da adesão a este Registro de Preço.</w:t>
      </w:r>
    </w:p>
    <w:p w:rsidR="00000000" w:rsidDel="00000000" w:rsidP="00000000" w:rsidRDefault="00000000" w:rsidRPr="00000000" w14:paraId="0000005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5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 DA ALTERAÇÃO DA ATA DE REGISTRO DE PREÇOS</w:t>
      </w:r>
    </w:p>
    <w:p w:rsidR="00000000" w:rsidDel="00000000" w:rsidP="00000000" w:rsidRDefault="00000000" w:rsidRPr="00000000" w14:paraId="0000005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5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11.2.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5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11.3. Os fornecedores que não aceitarem reduzir seus preços aos valores praticados pelo mercado serão liberados do compromisso assumido, sem aplicação de penalidade.</w:t>
      </w:r>
    </w:p>
    <w:p w:rsidR="00000000" w:rsidDel="00000000" w:rsidP="00000000" w:rsidRDefault="00000000" w:rsidRPr="00000000" w14:paraId="0000005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11.4. A ordem de classificação dos fornecedores que aceitarem reduzir seus preços aos valores de mercado observará a classificação original.</w:t>
      </w:r>
    </w:p>
    <w:p w:rsidR="00000000" w:rsidDel="00000000" w:rsidP="00000000" w:rsidRDefault="00000000" w:rsidRPr="00000000" w14:paraId="0000005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11.5. Quando o preço de mercado tornar-se superior aos preços registrados, e o fornecedor não puder cumprir o compromisso, o órgão gerenciador poderá:</w:t>
      </w:r>
    </w:p>
    <w:p w:rsidR="00000000" w:rsidDel="00000000" w:rsidP="00000000" w:rsidRDefault="00000000" w:rsidRPr="00000000" w14:paraId="0000005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11.5.1.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5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11.5.2. Convocar os demais fornecedores para assegurar igual oportunidade de negociação;</w:t>
      </w:r>
    </w:p>
    <w:p w:rsidR="00000000" w:rsidDel="00000000" w:rsidP="00000000" w:rsidRDefault="00000000" w:rsidRPr="00000000" w14:paraId="0000005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11.5.3.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5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6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12.1. Substituir em qualquer tempo e sem qualquer Ônus para o Órgão/Entidade toda ou parte da remessa devolvida pela mesma, no prazo de 05 (cinco) dias úteis, caso constatada divergência na especificação;</w:t>
      </w:r>
    </w:p>
    <w:p w:rsidR="00000000" w:rsidDel="00000000" w:rsidP="00000000" w:rsidRDefault="00000000" w:rsidRPr="00000000" w14:paraId="0000006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12.2. Dispor-se a toda e qualquer fiscalização, no tocante ao fornecimento do produto, assim como ao cumprimento das obrigações previstas na ATA;</w:t>
      </w:r>
    </w:p>
    <w:p w:rsidR="00000000" w:rsidDel="00000000" w:rsidP="00000000" w:rsidRDefault="00000000" w:rsidRPr="00000000" w14:paraId="0000006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12.3.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6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6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12.5.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6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12.6. Respeitar e fazer cumprir a legislação de segurança e saúde no trabalho, previstas nas normas regulamentadoras pertinentes;</w:t>
      </w:r>
    </w:p>
    <w:p w:rsidR="00000000" w:rsidDel="00000000" w:rsidP="00000000" w:rsidRDefault="00000000" w:rsidRPr="00000000" w14:paraId="0000006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12.7.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6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6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000000" w:rsidDel="00000000" w:rsidP="00000000" w:rsidRDefault="00000000" w:rsidRPr="00000000" w14:paraId="0000006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12.10. Todos os impostos e taxas que forem devidos em decorrência das contratações do objeto do Edital correrão por conta exclusiva da contratada;</w:t>
      </w:r>
    </w:p>
    <w:p w:rsidR="00000000" w:rsidDel="00000000" w:rsidP="00000000" w:rsidRDefault="00000000" w:rsidRPr="00000000" w14:paraId="0000006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6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6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13.1. Proporcionar todas as facilidades indispensáveis à boa execução das obrigações contratuais;</w:t>
      </w:r>
    </w:p>
    <w:p w:rsidR="00000000" w:rsidDel="00000000" w:rsidP="00000000" w:rsidRDefault="00000000" w:rsidRPr="00000000" w14:paraId="0000006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13.2. Rejeitar, no todo ou em parte, os objetos desta Ata entregues em desacordo com as obrigações assumidas pelo fornecedor;</w:t>
      </w:r>
    </w:p>
    <w:p w:rsidR="00000000" w:rsidDel="00000000" w:rsidP="00000000" w:rsidRDefault="00000000" w:rsidRPr="00000000" w14:paraId="0000006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13.3. Notificar a CONTRATADA de qualquer irregularidade encontrada no fornecimento dos objetos desta Ata;</w:t>
      </w:r>
    </w:p>
    <w:p w:rsidR="00000000" w:rsidDel="00000000" w:rsidP="00000000" w:rsidRDefault="00000000" w:rsidRPr="00000000" w14:paraId="0000006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13.4. Efetuar o pagamento à(s) contratada(s) de acordo com as condições de preços e prazos estabelecidos no edital e ata de registro de preços</w:t>
      </w:r>
    </w:p>
    <w:p w:rsidR="00000000" w:rsidDel="00000000" w:rsidP="00000000" w:rsidRDefault="00000000" w:rsidRPr="00000000" w14:paraId="0000007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13.5.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7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13.6. Não haverá sob-hipótese alguma, pagamento antecipado.</w:t>
      </w:r>
    </w:p>
    <w:p w:rsidR="00000000" w:rsidDel="00000000" w:rsidP="00000000" w:rsidRDefault="00000000" w:rsidRPr="00000000" w14:paraId="0000007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7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 DA ALTERAÇÃO DAS MARCAS DOS ITENS REGISTRADOS</w:t>
      </w:r>
    </w:p>
    <w:p w:rsidR="00000000" w:rsidDel="00000000" w:rsidP="00000000" w:rsidRDefault="00000000" w:rsidRPr="00000000" w14:paraId="0000007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14.1. A marca/laboratório do item registrado poderá ser alterada, desde que seja por outra marca compatível em qualidade com a inicialmente ofertada, de acordo com a decisão nº 142/12/GCPCN.</w:t>
      </w:r>
    </w:p>
    <w:p w:rsidR="00000000" w:rsidDel="00000000" w:rsidP="00000000" w:rsidRDefault="00000000" w:rsidRPr="00000000" w14:paraId="0000007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14.2. A alteração deverá ser em decorrência de eventual fato superveniente, que impeça a detentora de cumprir com a entrega da marca/laboratório apresentada na proposta inicial, devidamente justificada e comprovada.</w:t>
      </w:r>
    </w:p>
    <w:p w:rsidR="00000000" w:rsidDel="00000000" w:rsidP="00000000" w:rsidRDefault="00000000" w:rsidRPr="00000000" w14:paraId="0000007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14.3. Para substituição da marca registrada a empresa detentora deverá:</w:t>
      </w:r>
    </w:p>
    <w:p w:rsidR="00000000" w:rsidDel="00000000" w:rsidP="00000000" w:rsidRDefault="00000000" w:rsidRPr="00000000" w14:paraId="0000007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14.3.1. Justificar a troca com a devida documentação, para análise do órgão gerenciador e equipe técnica da Diretoria de Assistência Farmacêutica - DAF, devendo apresentar </w:t>
      </w:r>
      <w:r w:rsidDel="00000000" w:rsidR="00000000" w:rsidRPr="00000000">
        <w:rPr>
          <w:rFonts w:ascii="Arial" w:cs="Arial" w:eastAsia="Arial" w:hAnsi="Arial"/>
          <w:b w:val="1"/>
          <w:i w:val="1"/>
          <w:sz w:val="16"/>
          <w:szCs w:val="16"/>
          <w:u w:val="single"/>
          <w:rtl w:val="0"/>
        </w:rPr>
        <w:t xml:space="preserve">amostra</w:t>
      </w:r>
      <w:r w:rsidDel="00000000" w:rsidR="00000000" w:rsidRPr="00000000">
        <w:rPr>
          <w:rFonts w:ascii="Arial" w:cs="Arial" w:eastAsia="Arial" w:hAnsi="Arial"/>
          <w:b w:val="1"/>
          <w:sz w:val="16"/>
          <w:szCs w:val="16"/>
          <w:rtl w:val="0"/>
        </w:rPr>
        <w:t xml:space="preserve"> do produto da nova marca/laboratório ofertada, bem como registro do produto na ANVISA e Certificado de Boas Práticas vigente.</w:t>
      </w:r>
    </w:p>
    <w:p w:rsidR="00000000" w:rsidDel="00000000" w:rsidP="00000000" w:rsidRDefault="00000000" w:rsidRPr="00000000" w14:paraId="0000007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14.3.2. O órgão gerenciador da ata de registro de preços, de posse da documentação apresentada, analisará o pedido, e com base no parecer técnico, poderá deferi-lo ou negá-lo.</w:t>
      </w:r>
    </w:p>
    <w:p w:rsidR="00000000" w:rsidDel="00000000" w:rsidP="00000000" w:rsidRDefault="00000000" w:rsidRPr="00000000" w14:paraId="0000007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14.3.3. Em qualquer caso, a troca de marca não poderá ser efetivada se a nova marca ofertada for incompatível ou de qualidade e quantidade inferior a inicialmente ofertada.</w:t>
      </w:r>
    </w:p>
    <w:p w:rsidR="00000000" w:rsidDel="00000000" w:rsidP="00000000" w:rsidRDefault="00000000" w:rsidRPr="00000000" w14:paraId="0000007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14.3.4. Quaisquer custos adicionais oriundo da alteração da marca/laboratório ficarão por conta da detentora do registro de preços, ficando vedada a cobrança de custos adicionais a Administração Pública.</w:t>
      </w:r>
    </w:p>
    <w:p w:rsidR="00000000" w:rsidDel="00000000" w:rsidP="00000000" w:rsidRDefault="00000000" w:rsidRPr="00000000" w14:paraId="0000007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7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 DOS ÓRGÃOS PARTICIPANTES:</w:t>
      </w:r>
    </w:p>
    <w:p w:rsidR="00000000" w:rsidDel="00000000" w:rsidP="00000000" w:rsidRDefault="00000000" w:rsidRPr="00000000" w14:paraId="0000007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15.1. É participante desta ata o seguinte órgão pertencente à Administração Pública do Estado de Rondônia:</w:t>
      </w:r>
    </w:p>
    <w:p w:rsidR="00000000" w:rsidDel="00000000" w:rsidP="00000000" w:rsidRDefault="00000000" w:rsidRPr="00000000" w14:paraId="0000007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SESAU – Secretaria de Estado da Saúde.</w:t>
      </w:r>
    </w:p>
    <w:p w:rsidR="00000000" w:rsidDel="00000000" w:rsidP="00000000" w:rsidRDefault="00000000" w:rsidRPr="00000000" w14:paraId="0000007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8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DISPOSIÇÕES GERAIS</w:t>
      </w:r>
    </w:p>
    <w:p w:rsidR="00000000" w:rsidDel="00000000" w:rsidP="00000000" w:rsidRDefault="00000000" w:rsidRPr="00000000" w14:paraId="0000008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8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16.2. Fica a Detentora ciente que a publicidade da ata de registro de preços na imprensa oficial terá efeito de compromisso nas condições ofertadas e pactuadas na proposta apresentada à licitação.</w:t>
      </w:r>
    </w:p>
    <w:p w:rsidR="00000000" w:rsidDel="00000000" w:rsidP="00000000" w:rsidRDefault="00000000" w:rsidRPr="00000000" w14:paraId="0000008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8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16.4.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8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8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tab/>
        <w:t xml:space="preserve">Fica eleito o foro do Município de Porto Velho/RO para dirimir as eventuais controvérsias decorrentes do presente ajuste.</w:t>
      </w:r>
    </w:p>
    <w:p w:rsidR="00000000" w:rsidDel="00000000" w:rsidP="00000000" w:rsidRDefault="00000000" w:rsidRPr="00000000" w14:paraId="0000008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88">
      <w:pPr>
        <w:ind w:right="47"/>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8A">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B">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8C">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8D">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F">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9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91">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center" w:pos="4419"/>
        <w:tab w:val="right" w:pos="8838"/>
      </w:tabs>
      <w:jc w:val="center"/>
      <w:rPr>
        <w:rFonts w:ascii="Book Antiqua" w:cs="Book Antiqua" w:eastAsia="Book Antiqua" w:hAnsi="Book Antiqua"/>
        <w:b w:val="1"/>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paragraph" w:styleId="Ttulo6">
    <w:name w:val="heading 6"/>
    <w:basedOn w:val="normal0"/>
    <w:next w:val="normal0"/>
    <w:rsid w:val="00481389"/>
    <w:pPr>
      <w:keepNext w:val="1"/>
      <w:keepLines w:val="1"/>
      <w:spacing w:after="40" w:before="200"/>
      <w:outlineLvl w:val="5"/>
    </w:pPr>
    <w:rPr>
      <w:b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normal0" w:customStyle="1">
    <w:name w:val="normal"/>
    <w:rsid w:val="00481389"/>
  </w:style>
  <w:style w:type="table" w:styleId="TableNormal" w:customStyle="1">
    <w:name w:val="Table Normal"/>
    <w:rsid w:val="00481389"/>
    <w:tblPr>
      <w:tblCellMar>
        <w:top w:w="0.0" w:type="dxa"/>
        <w:left w:w="0.0" w:type="dxa"/>
        <w:bottom w:w="0.0" w:type="dxa"/>
        <w:right w:w="0.0" w:type="dxa"/>
      </w:tblCellMar>
    </w:tbl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tulo">
    <w:name w:val="Subtitle"/>
    <w:basedOn w:val="Normal"/>
    <w:next w:val="Normal"/>
    <w:rsid w:val="00481389"/>
    <w:pPr>
      <w:keepNext w:val="1"/>
      <w:keepLines w:val="1"/>
      <w:spacing w:after="80" w:before="360"/>
    </w:pPr>
    <w:rPr>
      <w:rFonts w:ascii="Georgia" w:cs="Georgia" w:eastAsia="Georgia" w:hAnsi="Georgia"/>
      <w:i w:val="1"/>
      <w:color w:val="666666"/>
      <w:sz w:val="48"/>
      <w:szCs w:val="48"/>
    </w:rPr>
  </w:style>
  <w:style w:type="table" w:styleId="a" w:customStyle="1">
    <w:basedOn w:val="TableNormal"/>
    <w:rsid w:val="00481389"/>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GOjUtuX4MZd1MTorNDK5Af4Kw==">AMUW2mUVAJ0h6PLhxjmXrNS8vS99sd88O7taZrMd6Ys7w6PbHLWZiSZuctWKO2U42+tmvYxwiAZ7R5XN7GVLIBSiV/KkwVwdCV4+Ybt4paIq+AM2vnehktM7DXFyI8PCHFIVtp1SvNKjKOfvC54ML7xu51jvpIEFnQ==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2020-05-15T13:32:00Z</dcterms:created>
  <dc:creator>SESAU</dc:creator>
</cp:coreProperties>
</file>