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5"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338/2020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256/2020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0004.541257/2019-03</w:t>
      </w:r>
    </w:p>
    <w:p w:rsidR="00000000" w:rsidDel="00000000" w:rsidP="00000000" w:rsidRDefault="00000000" w:rsidRPr="00000000" w14:paraId="0000000A">
      <w:pPr>
        <w:ind w:firstLine="708"/>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Pelo presente instrumento, o </w:t>
      </w:r>
      <w:r w:rsidDel="00000000" w:rsidR="00000000" w:rsidRPr="00000000">
        <w:rPr>
          <w:rFonts w:ascii="Arial" w:cs="Arial" w:eastAsia="Arial" w:hAnsi="Arial"/>
          <w:b w:val="1"/>
          <w:color w:val="000000"/>
          <w:sz w:val="16"/>
          <w:szCs w:val="16"/>
          <w:rtl w:val="0"/>
        </w:rPr>
        <w:t xml:space="preserve">ESTADO DE RONDÔNIA</w:t>
      </w:r>
      <w:r w:rsidDel="00000000" w:rsidR="00000000" w:rsidRPr="00000000">
        <w:rPr>
          <w:rFonts w:ascii="Arial" w:cs="Arial" w:eastAsia="Arial" w:hAnsi="Arial"/>
          <w:color w:val="000000"/>
          <w:sz w:val="16"/>
          <w:szCs w:val="16"/>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PREÇO </w:t>
      </w:r>
      <w:r w:rsidDel="00000000" w:rsidR="00000000" w:rsidRPr="00000000">
        <w:rPr>
          <w:rFonts w:ascii="Arial" w:cs="Arial" w:eastAsia="Arial" w:hAnsi="Arial"/>
          <w:color w:val="000000"/>
          <w:sz w:val="16"/>
          <w:szCs w:val="16"/>
          <w:rtl w:val="0"/>
        </w:rPr>
        <w:t xml:space="preserve">para futura e eventual </w:t>
      </w:r>
      <w:r w:rsidDel="00000000" w:rsidR="00000000" w:rsidRPr="00000000">
        <w:rPr>
          <w:rFonts w:ascii="Arial" w:cs="Arial" w:eastAsia="Arial" w:hAnsi="Arial"/>
          <w:sz w:val="16"/>
          <w:szCs w:val="16"/>
          <w:rtl w:val="0"/>
        </w:rPr>
        <w:t xml:space="preserve">  aquisição de material esportivo (bola de vôlei, bola de futsal, rede de vôlei, etc), para atender as necessidades do corpo de bombeiros militar, a pedido do Fundo Especial Do Corpo De Bombeiros Militar – FUNESBOM</w:t>
      </w:r>
      <w:r w:rsidDel="00000000" w:rsidR="00000000" w:rsidRPr="00000000">
        <w:rPr>
          <w:rFonts w:ascii="Arial" w:cs="Arial" w:eastAsia="Arial" w:hAnsi="Arial"/>
          <w:color w:val="000000"/>
          <w:sz w:val="16"/>
          <w:szCs w:val="16"/>
          <w:rtl w:val="0"/>
        </w:rPr>
        <w:t xml:space="preserve">,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 para futura e eventual </w:t>
      </w:r>
      <w:r w:rsidDel="00000000" w:rsidR="00000000" w:rsidRPr="00000000">
        <w:rPr>
          <w:rFonts w:ascii="Arial" w:cs="Arial" w:eastAsia="Arial" w:hAnsi="Arial"/>
          <w:sz w:val="16"/>
          <w:szCs w:val="16"/>
          <w:rtl w:val="0"/>
        </w:rPr>
        <w:t xml:space="preserve">aquisição de material esportivo (bola de vôlei, bola de futsal, rede de vôlei, etc), para atender as necessidades do corpo de bombeiros militar, a pedido do Fundo Especial Do Corpo De Bombeiros Militar – FUNESBOM</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0F">
      <w:pPr>
        <w:ind w:right="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 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A Contratada deverá efetuar a entrega dos objetos, dentro de </w:t>
      </w:r>
      <w:r w:rsidDel="00000000" w:rsidR="00000000" w:rsidRPr="00000000">
        <w:rPr>
          <w:rFonts w:ascii="Arial" w:cs="Arial" w:eastAsia="Arial" w:hAnsi="Arial"/>
          <w:b w:val="1"/>
          <w:sz w:val="16"/>
          <w:szCs w:val="16"/>
          <w:rtl w:val="0"/>
        </w:rPr>
        <w:t xml:space="preserve">30 (trinta) dias</w:t>
      </w:r>
      <w:r w:rsidDel="00000000" w:rsidR="00000000" w:rsidRPr="00000000">
        <w:rPr>
          <w:rFonts w:ascii="Arial" w:cs="Arial" w:eastAsia="Arial" w:hAnsi="Arial"/>
          <w:sz w:val="16"/>
          <w:szCs w:val="16"/>
          <w:rtl w:val="0"/>
        </w:rPr>
        <w:t xml:space="preserve"> corridos, contados a partir da data de assinatura do contrato ou empenho;</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Os materiais adquiridos serão entregues na DLOG/CBMRO, sito a Av. Vieira Caúla, 4138, bairro Cuniã, dentro do horário de expediente, de segunda a sexta-feira, das 07h30min às 13h30min, nos dias úteis.</w:t>
      </w:r>
      <w:r w:rsidDel="00000000" w:rsidR="00000000" w:rsidRPr="00000000">
        <w:rPr>
          <w:rtl w:val="0"/>
        </w:rPr>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 Se a adjudicatária recusar-se a retirar o instrumento contratual injustificadamente ou se não apresentar situação regular na ocasião dos recebimentos, garantida a prévia e ampla defesa, aplicar à Contratada multa de até 10% (dez por cento) sobre o valor inadimplido.</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pelo prazo de até 05 (cinco) anos, e será descredenciado do sistema de cadastro da SUPEL e SICAF, sem prejuízo das multas previstas no Edital e das demais cominações legais, devendo ser incluída a penalidade.</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 São exemplos de infração administrativa penalizáveis, nos termos da Lei nº 8.666, de 1993, da Lei nº 10.520, de 2002, do Decreto nº 3.555, de 2000, e do Decreto nº 5.450, de 2005:</w:t>
      </w:r>
    </w:p>
    <w:p w:rsidR="00000000" w:rsidDel="00000000" w:rsidP="00000000" w:rsidRDefault="00000000" w:rsidRPr="00000000" w14:paraId="0000003A">
      <w:pPr>
        <w:numPr>
          <w:ilvl w:val="0"/>
          <w:numId w:val="1"/>
        </w:numPr>
        <w:spacing w:after="0" w:afterAutospacing="0" w:before="12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Inexecução total ou parcial do contrato;</w:t>
      </w:r>
    </w:p>
    <w:p w:rsidR="00000000" w:rsidDel="00000000" w:rsidP="00000000" w:rsidRDefault="00000000" w:rsidRPr="00000000" w14:paraId="0000003B">
      <w:pPr>
        <w:numPr>
          <w:ilvl w:val="0"/>
          <w:numId w:val="1"/>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Apresentação de documentação falsa;</w:t>
      </w:r>
    </w:p>
    <w:p w:rsidR="00000000" w:rsidDel="00000000" w:rsidP="00000000" w:rsidRDefault="00000000" w:rsidRPr="00000000" w14:paraId="0000003C">
      <w:pPr>
        <w:numPr>
          <w:ilvl w:val="0"/>
          <w:numId w:val="1"/>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Comportamento inidôneo;</w:t>
      </w:r>
    </w:p>
    <w:p w:rsidR="00000000" w:rsidDel="00000000" w:rsidP="00000000" w:rsidRDefault="00000000" w:rsidRPr="00000000" w14:paraId="0000003D">
      <w:pPr>
        <w:numPr>
          <w:ilvl w:val="0"/>
          <w:numId w:val="1"/>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Fraude fiscal;</w:t>
      </w:r>
    </w:p>
    <w:p w:rsidR="00000000" w:rsidDel="00000000" w:rsidP="00000000" w:rsidRDefault="00000000" w:rsidRPr="00000000" w14:paraId="0000003E">
      <w:pPr>
        <w:numPr>
          <w:ilvl w:val="0"/>
          <w:numId w:val="1"/>
        </w:numPr>
        <w:spacing w:after="12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Descumprimento de qualquer dos deveres elencados no Edital ou no Contrato.</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71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05"/>
        <w:gridCol w:w="6590"/>
        <w:gridCol w:w="965"/>
        <w:gridCol w:w="1250"/>
        <w:tblGridChange w:id="0">
          <w:tblGrid>
            <w:gridCol w:w="905"/>
            <w:gridCol w:w="6590"/>
            <w:gridCol w:w="965"/>
            <w:gridCol w:w="1250"/>
          </w:tblGrid>
        </w:tblGridChange>
      </w:tblGrid>
      <w:tr>
        <w:trPr>
          <w:trHeight w:val="530" w:hRule="atLeast"/>
        </w:trPr>
        <w:tc>
          <w:tcPr>
            <w:tcMar>
              <w:top w:w="100.0" w:type="dxa"/>
              <w:left w:w="100.0" w:type="dxa"/>
              <w:bottom w:w="100.0" w:type="dxa"/>
              <w:right w:w="100.0" w:type="dxa"/>
            </w:tcMar>
            <w:vAlign w:val="top"/>
          </w:tcPr>
          <w:p w:rsidR="00000000" w:rsidDel="00000000" w:rsidP="00000000" w:rsidRDefault="00000000" w:rsidRPr="00000000" w14:paraId="0000004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2">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815" w:hRule="atLeast"/>
        </w:trPr>
        <w:tc>
          <w:tcPr>
            <w:tcMar>
              <w:top w:w="100.0" w:type="dxa"/>
              <w:left w:w="100.0" w:type="dxa"/>
              <w:bottom w:w="100.0" w:type="dxa"/>
              <w:right w:w="100.0" w:type="dxa"/>
            </w:tcMar>
            <w:vAlign w:val="top"/>
          </w:tcPr>
          <w:p w:rsidR="00000000" w:rsidDel="00000000" w:rsidP="00000000" w:rsidRDefault="00000000" w:rsidRPr="00000000" w14:paraId="00000045">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7">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815" w:hRule="atLeast"/>
        </w:trPr>
        <w:tc>
          <w:tcPr>
            <w:tcMar>
              <w:top w:w="100.0" w:type="dxa"/>
              <w:left w:w="100.0" w:type="dxa"/>
              <w:bottom w:w="100.0" w:type="dxa"/>
              <w:right w:w="100.0" w:type="dxa"/>
            </w:tcMar>
            <w:vAlign w:val="top"/>
          </w:tcPr>
          <w:p w:rsidR="00000000" w:rsidDel="00000000" w:rsidP="00000000" w:rsidRDefault="00000000" w:rsidRPr="00000000" w14:paraId="0000004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B">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85" w:hRule="atLeast"/>
        </w:trPr>
        <w:tc>
          <w:tcPr>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815" w:hRule="atLeast"/>
        </w:trPr>
        <w:tc>
          <w:tcPr>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815" w:hRule="atLeast"/>
        </w:trPr>
        <w:tc>
          <w:tcPr>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fornecer o material,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85" w:hRule="atLeast"/>
        </w:trPr>
        <w:tc>
          <w:tcPr>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material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B">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530" w:hRule="atLeast"/>
        </w:trPr>
        <w:tc>
          <w:tcPr>
            <w:gridSpan w:val="4"/>
            <w:tcMar>
              <w:top w:w="100.0" w:type="dxa"/>
              <w:left w:w="100.0" w:type="dxa"/>
              <w:bottom w:w="100.0" w:type="dxa"/>
              <w:right w:w="100.0" w:type="dxa"/>
            </w:tcMar>
            <w:vAlign w:val="top"/>
          </w:tcPr>
          <w:p w:rsidR="00000000" w:rsidDel="00000000" w:rsidP="00000000" w:rsidRDefault="00000000" w:rsidRPr="00000000" w14:paraId="0000005D">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p w:rsidR="00000000" w:rsidDel="00000000" w:rsidP="00000000" w:rsidRDefault="00000000" w:rsidRPr="00000000" w14:paraId="0000006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81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a reposição de equipamentos danificados no prazo de garantia, por motivo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81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8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o fornecimento nos prazos estabelecidos, observados os limites mínimos estabelecidos por esse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81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Ressarcir o órgão por eventuais danos causados por sua culpa, em equipamentos, dados,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81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E">
      <w:pPr>
        <w:spacing w:after="240" w:before="240" w:lineRule="auto"/>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*incidente sobre a parte inadimplida do contrato.</w:t>
      </w:r>
    </w:p>
    <w:p w:rsidR="00000000" w:rsidDel="00000000" w:rsidP="00000000" w:rsidRDefault="00000000" w:rsidRPr="00000000" w14:paraId="0000007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 Para as infrações não previstas na tabela de sanções acima, fica estabelecido os seguintes percentuais para aplicação de penalidades, incidente sobre o valor- mensal do contrato:</w:t>
      </w:r>
    </w:p>
    <w:p w:rsidR="00000000" w:rsidDel="00000000" w:rsidP="00000000" w:rsidRDefault="00000000" w:rsidRPr="00000000" w14:paraId="00000080">
      <w:pPr>
        <w:numPr>
          <w:ilvl w:val="0"/>
          <w:numId w:val="2"/>
        </w:numPr>
        <w:spacing w:after="0" w:afterAutospacing="0" w:before="12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 por dia, para infrações leves;</w:t>
      </w:r>
    </w:p>
    <w:p w:rsidR="00000000" w:rsidDel="00000000" w:rsidP="00000000" w:rsidRDefault="00000000" w:rsidRPr="00000000" w14:paraId="00000081">
      <w:pPr>
        <w:numPr>
          <w:ilvl w:val="0"/>
          <w:numId w:val="2"/>
        </w:numPr>
        <w:spacing w:after="0" w:afterAutospacing="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2,0% por dia, para infrações médias;</w:t>
      </w:r>
    </w:p>
    <w:p w:rsidR="00000000" w:rsidDel="00000000" w:rsidP="00000000" w:rsidRDefault="00000000" w:rsidRPr="00000000" w14:paraId="00000082">
      <w:pPr>
        <w:numPr>
          <w:ilvl w:val="0"/>
          <w:numId w:val="2"/>
        </w:numPr>
        <w:spacing w:after="120" w:before="0" w:beforeAutospacing="0" w:lineRule="auto"/>
        <w:ind w:left="720" w:right="120" w:hanging="36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3,5% por dia, para infrações graves;</w:t>
      </w:r>
    </w:p>
    <w:p w:rsidR="00000000" w:rsidDel="00000000" w:rsidP="00000000" w:rsidRDefault="00000000" w:rsidRPr="00000000" w14:paraId="0000008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8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 Após 30 (trinta) dias da falta de execução do objeto, será considerada inexecução total do contrato, o que ensejará a rescisão contratual.</w:t>
      </w:r>
    </w:p>
    <w:p w:rsidR="00000000" w:rsidDel="00000000" w:rsidP="00000000" w:rsidRDefault="00000000" w:rsidRPr="00000000" w14:paraId="0000008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8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8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 A sanção será obrigatoriamente registrada no Sistema de Cadastramento Unificado de Fornecedores – SICAF, bem como em sistemas Estaduais.</w:t>
      </w:r>
    </w:p>
    <w:p w:rsidR="00000000" w:rsidDel="00000000" w:rsidP="00000000" w:rsidRDefault="00000000" w:rsidRPr="00000000" w14:paraId="0000008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8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b) Tenham praticado atos ilícitos visando a frustrar os objetivos da licitação;</w:t>
      </w:r>
    </w:p>
    <w:p w:rsidR="00000000" w:rsidDel="00000000" w:rsidP="00000000" w:rsidRDefault="00000000" w:rsidRPr="00000000" w14:paraId="0000008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8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tl w:val="0"/>
        </w:rPr>
      </w:r>
    </w:p>
    <w:p w:rsidR="00000000" w:rsidDel="00000000" w:rsidP="00000000" w:rsidRDefault="00000000" w:rsidRPr="00000000" w14:paraId="0000008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F">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0">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sou entidades municipais, distritais ou estaduais a adesão a ata de registro de preços da Administração Pública Estadual.</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w:t>
      </w:r>
      <w:r w:rsidDel="00000000" w:rsidR="00000000" w:rsidRPr="00000000">
        <w:rPr>
          <w:rFonts w:ascii="Arial" w:cs="Arial" w:eastAsia="Arial" w:hAnsi="Arial"/>
          <w:sz w:val="16"/>
          <w:szCs w:val="16"/>
          <w:rtl w:val="0"/>
        </w:rPr>
        <w:t xml:space="preserve">50</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dos quantitativos dos itens do instrumento convocatório e registrados na ata de registro de preços para o órgão gerenciador e órgãos participantes.</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w:t>
      </w:r>
      <w:r w:rsidDel="00000000" w:rsidR="00000000" w:rsidRPr="00000000">
        <w:rPr>
          <w:rFonts w:ascii="Arial" w:cs="Arial" w:eastAsia="Arial" w:hAnsi="Arial"/>
          <w:sz w:val="16"/>
          <w:szCs w:val="16"/>
          <w:rtl w:val="0"/>
        </w:rPr>
        <w:t xml:space="preserve">dobro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5">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6">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0">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C">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B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B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4">
      <w:pPr>
        <w:tabs>
          <w:tab w:val="left" w:pos="900"/>
        </w:tabs>
        <w:ind w:right="47"/>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FUNESBOM</w:t>
      </w:r>
      <w:r w:rsidDel="00000000" w:rsidR="00000000" w:rsidRPr="00000000">
        <w:rPr>
          <w:rFonts w:ascii="Arial" w:cs="Arial" w:eastAsia="Arial" w:hAnsi="Arial"/>
          <w:sz w:val="16"/>
          <w:szCs w:val="16"/>
          <w:rtl w:val="0"/>
        </w:rPr>
        <w:t xml:space="preserve"> – FUNDO ESPECIAL DO CORPO DE BOMBEIROS MILITAR.</w:t>
      </w:r>
    </w:p>
    <w:p w:rsidR="00000000" w:rsidDel="00000000" w:rsidP="00000000" w:rsidRDefault="00000000" w:rsidRPr="00000000" w14:paraId="000000B8">
      <w:pPr>
        <w:tabs>
          <w:tab w:val="left" w:pos="1475"/>
          <w:tab w:val="left" w:pos="4847"/>
        </w:tabs>
        <w:jc w:val="both"/>
        <w:rPr>
          <w:rFonts w:ascii="Arial" w:cs="Arial" w:eastAsia="Arial" w:hAnsi="Arial"/>
          <w:sz w:val="16"/>
          <w:szCs w:val="16"/>
        </w:rPr>
      </w:pPr>
      <w:r w:rsidDel="00000000" w:rsidR="00000000" w:rsidRPr="00000000">
        <w:rPr>
          <w:rFonts w:ascii="Arial" w:cs="Arial" w:eastAsia="Arial" w:hAnsi="Arial"/>
          <w:sz w:val="16"/>
          <w:szCs w:val="16"/>
          <w:rtl w:val="0"/>
        </w:rPr>
        <w:tab/>
        <w:tab/>
      </w:r>
    </w:p>
    <w:p w:rsidR="00000000" w:rsidDel="00000000" w:rsidP="00000000" w:rsidRDefault="00000000" w:rsidRPr="00000000" w14:paraId="000000B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BF">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0">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4">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5">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C6">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C7">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B">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ableParagraph" w:customStyle="1">
    <w:name w:val="Table Paragraph"/>
    <w:basedOn w:val="Normal"/>
    <w:uiPriority w:val="1"/>
    <w:qFormat w:val="1"/>
    <w:rsid w:val="001B298D"/>
    <w:pPr>
      <w:widowControl w:val="0"/>
      <w:autoSpaceDE w:val="0"/>
      <w:autoSpaceDN w:val="0"/>
    </w:pPr>
    <w:rPr>
      <w:sz w:val="22"/>
      <w:szCs w:val="22"/>
      <w:lang w:bidi="pt-PT" w:eastAsia="pt-PT" w:val="pt-PT"/>
    </w:rPr>
  </w:style>
  <w:style w:type="paragraph" w:styleId="SemEspaamento1" w:customStyle="1">
    <w:name w:val="Sem Espaçamento1"/>
    <w:qFormat w:val="1"/>
    <w:rsid w:val="00766492"/>
    <w:pPr>
      <w:spacing w:after="0" w:line="240" w:lineRule="auto"/>
    </w:pPr>
    <w:rPr>
      <w:sz w:val="24"/>
      <w:szCs w:val="24"/>
    </w:rPr>
  </w:style>
  <w:style w:type="paragraph" w:styleId="textocentralizado" w:customStyle="1">
    <w:name w:val="texto_centralizado"/>
    <w:basedOn w:val="Normal"/>
    <w:rsid w:val="00C6385B"/>
    <w:pPr>
      <w:spacing w:after="100" w:afterAutospacing="1" w:before="100" w:beforeAutospacing="1"/>
    </w:pPr>
    <w:rPr>
      <w:sz w:val="24"/>
      <w:szCs w:val="24"/>
    </w:rPr>
  </w:style>
  <w:style w:type="paragraph" w:styleId="tabelatextoalinhadoesquerda" w:customStyle="1">
    <w:name w:val="tabela_texto_alinhado_esquerda"/>
    <w:basedOn w:val="Normal"/>
    <w:rsid w:val="00C6385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CB2453"/>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0P+7RHbOe+OFPog5dQzRyo1RQ==">AMUW2mWjjHR3aXO/dNuR+5SjbH/fSd0XAJqYJrKiRljnxQijYSeRDG7nRAQKfqcMhiCTNwWRS8XAOJXdV1ujZkOjzNPdPIGU0TcYHetJ3/OVLv/qLvXOXe80/XpBbGxd+t7zNuBQhz7qZfz/JmZ60z+XLFivlGnzew==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2019-03-19T13:22:00Z</dcterms:created>
  <dc:creator>SESAU</dc:creator>
</cp:coreProperties>
</file>