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9"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332/2020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476/2020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0036.228181/2020-81</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aquisição de </w:t>
      </w:r>
      <w:r w:rsidDel="00000000" w:rsidR="00000000" w:rsidRPr="00000000">
        <w:rPr>
          <w:rFonts w:ascii="Arial" w:cs="Arial" w:eastAsia="Arial" w:hAnsi="Arial"/>
          <w:b w:val="1"/>
          <w:sz w:val="16"/>
          <w:szCs w:val="16"/>
          <w:rtl w:val="0"/>
        </w:rPr>
        <w:t xml:space="preserve">Material Médico-Hospitalar/Penso, grupo de apresentação "INSUMOS DE ENFRENTAMENTO DA COVID-19 - Filtro HEPA</w:t>
      </w:r>
      <w:r w:rsidDel="00000000" w:rsidR="00000000" w:rsidRPr="00000000">
        <w:rPr>
          <w:rFonts w:ascii="Arial" w:cs="Arial" w:eastAsia="Arial" w:hAnsi="Arial"/>
          <w:sz w:val="16"/>
          <w:szCs w:val="16"/>
          <w:rtl w:val="0"/>
        </w:rPr>
        <w:t xml:space="preserve">, a pedido da Secretaria de Estado da Saúde de Rondônia - SESAU/RO</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futura e eventual aquisição de </w:t>
      </w:r>
      <w:r w:rsidDel="00000000" w:rsidR="00000000" w:rsidRPr="00000000">
        <w:rPr>
          <w:rFonts w:ascii="Arial" w:cs="Arial" w:eastAsia="Arial" w:hAnsi="Arial"/>
          <w:b w:val="1"/>
          <w:sz w:val="16"/>
          <w:szCs w:val="16"/>
          <w:rtl w:val="0"/>
        </w:rPr>
        <w:t xml:space="preserve">Material Médico-Hospitalar/Penso, grupo de apresentação "INSUMOS DE ENFRENTAMENTO DA COVID-19 - Filtro HEPA</w:t>
      </w:r>
      <w:r w:rsidDel="00000000" w:rsidR="00000000" w:rsidRPr="00000000">
        <w:rPr>
          <w:rFonts w:ascii="Arial" w:cs="Arial" w:eastAsia="Arial" w:hAnsi="Arial"/>
          <w:sz w:val="16"/>
          <w:szCs w:val="16"/>
          <w:rtl w:val="0"/>
        </w:rPr>
        <w:t xml:space="preserve">, a pedido da Secretaria de Estado da Saúde de Rondônia - SESAU/RO.</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b w:val="1"/>
          <w:sz w:val="16"/>
          <w:szCs w:val="16"/>
          <w:rtl w:val="0"/>
        </w:rPr>
        <w:t xml:space="preserve"> A entrega deverá ocorrer conforme solicitação via requisição da Secretaria de Saúde com definição da quantidade no prazo de não superior a 30 (trinta) dias corridos, contado a partir da confirmação de  recebimento da Nota de Empenho. </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b w:val="1"/>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w:t>
      </w:r>
      <w:r w:rsidDel="00000000" w:rsidR="00000000" w:rsidRPr="00000000">
        <w:rPr>
          <w:rFonts w:ascii="Arial" w:cs="Arial" w:eastAsia="Arial" w:hAnsi="Arial"/>
          <w:b w:val="1"/>
          <w:sz w:val="16"/>
          <w:szCs w:val="16"/>
          <w:rtl w:val="0"/>
        </w:rPr>
        <w:t xml:space="preserve"> 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E">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 Comete infração administrativa nos termos da Lei nº 8.666, de 1993 e da Lei nº 10.520, de 2002, Decreto Estadual n° 12.205/06 e do Decreto Estadual n° 12.234/06, a contratada que:</w:t>
      </w:r>
    </w:p>
    <w:p w:rsidR="00000000" w:rsidDel="00000000" w:rsidP="00000000" w:rsidRDefault="00000000" w:rsidRPr="00000000" w14:paraId="00000031">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Não executar total ou parcialmente qualquer das obrigações assumidas em decorrência da contratação;</w:t>
      </w:r>
    </w:p>
    <w:p w:rsidR="00000000" w:rsidDel="00000000" w:rsidP="00000000" w:rsidRDefault="00000000" w:rsidRPr="00000000" w14:paraId="00000032">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Ensejar o retardamento da execução do objeto;</w:t>
      </w:r>
    </w:p>
    <w:p w:rsidR="00000000" w:rsidDel="00000000" w:rsidP="00000000" w:rsidRDefault="00000000" w:rsidRPr="00000000" w14:paraId="00000033">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Falhar ou fraudar na execução do contrato;</w:t>
      </w:r>
    </w:p>
    <w:p w:rsidR="00000000" w:rsidDel="00000000" w:rsidP="00000000" w:rsidRDefault="00000000" w:rsidRPr="00000000" w14:paraId="00000034">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IV - Comportar-se de modo inidôneo;</w:t>
      </w:r>
    </w:p>
    <w:p w:rsidR="00000000" w:rsidDel="00000000" w:rsidP="00000000" w:rsidRDefault="00000000" w:rsidRPr="00000000" w14:paraId="0000003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 - Cometer fraude fiscal;</w:t>
      </w:r>
    </w:p>
    <w:p w:rsidR="00000000" w:rsidDel="00000000" w:rsidP="00000000" w:rsidRDefault="00000000" w:rsidRPr="00000000" w14:paraId="0000003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 - Não mantiver a proposta;</w:t>
      </w:r>
    </w:p>
    <w:p w:rsidR="00000000" w:rsidDel="00000000" w:rsidP="00000000" w:rsidRDefault="00000000" w:rsidRPr="00000000" w14:paraId="0000003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 - Apresentar documento ou declaração falsa. </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 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 As sanções serão aplicadas sem prejuízo da responsabilidade civil e criminal que possa ser acionada em desfavor da Contratada, conforme infração cometida e prejuízos causados a administração ou a terceiros.</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 A sanção será obrigatoriamente registrada no Sistema de Cadastramento Unificado de Fornecedores – SICAF, bem como em sistemas Estaduais.</w:t>
      </w:r>
    </w:p>
    <w:p w:rsidR="00000000" w:rsidDel="00000000" w:rsidP="00000000" w:rsidRDefault="00000000" w:rsidRPr="00000000" w14:paraId="0000004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4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Tenham sofrido condenações definitivas por praticarem, por meio dolosos, fraude fiscal no recolhimento de tributos;</w:t>
      </w:r>
    </w:p>
    <w:p w:rsidR="00000000" w:rsidDel="00000000" w:rsidP="00000000" w:rsidRDefault="00000000" w:rsidRPr="00000000" w14:paraId="0000004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Tenham praticado atos ilícitos visando a frustrar os objetivos da licitação;</w:t>
      </w:r>
    </w:p>
    <w:p w:rsidR="00000000" w:rsidDel="00000000" w:rsidP="00000000" w:rsidRDefault="00000000" w:rsidRPr="00000000" w14:paraId="0000004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Demonstrem não possuir idoneidade para contratar com a Administração em virtude de atos ilícitos praticados. </w:t>
      </w:r>
    </w:p>
    <w:p w:rsidR="00000000" w:rsidDel="00000000" w:rsidP="00000000" w:rsidRDefault="00000000" w:rsidRPr="00000000" w14:paraId="0000004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 A contratada, total e/ou parcialmente inadimplente, serão aplicadas as sanções previstas nos artigos 86 e 87 da Lei Federal nº 8.666/93, a saber:</w:t>
      </w:r>
    </w:p>
    <w:p w:rsidR="00000000" w:rsidDel="00000000" w:rsidP="00000000" w:rsidRDefault="00000000" w:rsidRPr="00000000" w14:paraId="0000004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Advertência, sempre que for constatada irregularidade de pouca gravidade, para as quais tenha a Contratada concorrida diretamente, ocorrência que será registrada no Cadastro de Fornecedores do Estado de Rondônia.</w:t>
      </w:r>
    </w:p>
    <w:p w:rsidR="00000000" w:rsidDel="00000000" w:rsidP="00000000" w:rsidRDefault="00000000" w:rsidRPr="00000000" w14:paraId="0000004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highlight w:val="yellow"/>
          <w:rtl w:val="0"/>
        </w:rPr>
        <w:t xml:space="preserve">II - Multa, cobrada pelo Estado, por via administrativa ou judicial,  de acordo com os casos descritos abaixo:</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4B">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000000" w:rsidDel="00000000" w:rsidP="00000000" w:rsidRDefault="00000000" w:rsidRPr="00000000" w14:paraId="0000004C">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Multa de 10% (dez por cento), na hipótese de inexecução parcial ou total de cada Nota de Empenho, calculada sobre o valor total da inadimplência ou na hipótese do não cumprimento de qualquer das obrigações assumidas.</w:t>
      </w:r>
    </w:p>
    <w:p w:rsidR="00000000" w:rsidDel="00000000" w:rsidP="00000000" w:rsidRDefault="00000000" w:rsidRPr="00000000" w14:paraId="0000004D">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As multas serão, após regular processo administrativo, descontadas dos créditos da empresa detentora da Ata ou, se for o caso, cobrada administrativa ou judicialmente.</w:t>
      </w:r>
    </w:p>
    <w:p w:rsidR="00000000" w:rsidDel="00000000" w:rsidP="00000000" w:rsidRDefault="00000000" w:rsidRPr="00000000" w14:paraId="0000004E">
      <w:pPr>
        <w:spacing w:after="80" w:before="80" w:lineRule="auto"/>
        <w:ind w:left="240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4F">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000000" w:rsidDel="00000000" w:rsidP="00000000" w:rsidRDefault="00000000" w:rsidRPr="00000000" w14:paraId="00000050">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IV - declaração de inidoneidade para licitar e contratar com a Administração Pública enquanto perdurarem os motivos determinantes da punição ou até que seja promovida a reabilitação perante a própria autoridade que aplicou a penalidade.</w:t>
      </w:r>
    </w:p>
    <w:p w:rsidR="00000000" w:rsidDel="00000000" w:rsidP="00000000" w:rsidRDefault="00000000" w:rsidRPr="00000000" w14:paraId="00000051">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 - As penalidades previstas no subitem </w:t>
      </w:r>
      <w:r w:rsidDel="00000000" w:rsidR="00000000" w:rsidRPr="00000000">
        <w:rPr>
          <w:rFonts w:ascii="Arial" w:cs="Arial" w:eastAsia="Arial" w:hAnsi="Arial"/>
          <w:b w:val="1"/>
          <w:sz w:val="16"/>
          <w:szCs w:val="16"/>
          <w:highlight w:val="yellow"/>
          <w:rtl w:val="0"/>
        </w:rPr>
        <w:t xml:space="preserve">15.15,</w:t>
      </w:r>
      <w:r w:rsidDel="00000000" w:rsidR="00000000" w:rsidRPr="00000000">
        <w:rPr>
          <w:rFonts w:ascii="Arial" w:cs="Arial" w:eastAsia="Arial" w:hAnsi="Arial"/>
          <w:b w:val="1"/>
          <w:sz w:val="16"/>
          <w:szCs w:val="16"/>
          <w:rtl w:val="0"/>
        </w:rPr>
        <w:t xml:space="preserve">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000000" w:rsidDel="00000000" w:rsidP="00000000" w:rsidRDefault="00000000" w:rsidRPr="00000000" w14:paraId="00000052">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 - As penalidades são independentes e a aplicação de uma não exclui a das demais, quando cabíveis.</w:t>
      </w:r>
    </w:p>
    <w:p w:rsidR="00000000" w:rsidDel="00000000" w:rsidP="00000000" w:rsidRDefault="00000000" w:rsidRPr="00000000" w14:paraId="00000053">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 - Se a multa aplicada for superior ao valor da garantia prestada, além da perda desta, responderá o contratado pela sua diferença, que será descontada dos pagamentos eventualmente devidos pela Administração ou cobrada judicialmente.</w:t>
      </w:r>
    </w:p>
    <w:p w:rsidR="00000000" w:rsidDel="00000000" w:rsidP="00000000" w:rsidRDefault="00000000" w:rsidRPr="00000000" w14:paraId="00000054">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VIII - As sanções previstas nos incisos I, III e IV deste subitem poderão ser aplicadas juntamente com a do inciso II, facultada a defesa prévia do interessado, no respectivo processo, no prazo de 5 (cinco) dias úteis.</w:t>
      </w:r>
    </w:p>
    <w:p w:rsidR="00000000" w:rsidDel="00000000" w:rsidP="00000000" w:rsidRDefault="00000000" w:rsidRPr="00000000" w14:paraId="0000005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000000" w:rsidDel="00000000" w:rsidP="00000000" w:rsidRDefault="00000000" w:rsidRPr="00000000" w14:paraId="0000005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X - Aplica-se os efeitos da penalidade do subitem </w:t>
      </w:r>
      <w:r w:rsidDel="00000000" w:rsidR="00000000" w:rsidRPr="00000000">
        <w:rPr>
          <w:rFonts w:ascii="Arial" w:cs="Arial" w:eastAsia="Arial" w:hAnsi="Arial"/>
          <w:b w:val="1"/>
          <w:sz w:val="16"/>
          <w:szCs w:val="16"/>
          <w:highlight w:val="yellow"/>
          <w:rtl w:val="0"/>
        </w:rPr>
        <w:t xml:space="preserve">15.15, IV</w:t>
      </w:r>
      <w:r w:rsidDel="00000000" w:rsidR="00000000" w:rsidRPr="00000000">
        <w:rPr>
          <w:rFonts w:ascii="Arial" w:cs="Arial" w:eastAsia="Arial" w:hAnsi="Arial"/>
          <w:b w:val="1"/>
          <w:sz w:val="16"/>
          <w:szCs w:val="16"/>
          <w:rtl w:val="0"/>
        </w:rPr>
        <w:t xml:space="preserve"> à todos os entes Federativo e os efeitos do subitem 15.4</w:t>
      </w:r>
      <w:r w:rsidDel="00000000" w:rsidR="00000000" w:rsidRPr="00000000">
        <w:rPr>
          <w:rFonts w:ascii="Arial" w:cs="Arial" w:eastAsia="Arial" w:hAnsi="Arial"/>
          <w:b w:val="1"/>
          <w:sz w:val="16"/>
          <w:szCs w:val="16"/>
          <w:highlight w:val="yellow"/>
          <w:rtl w:val="0"/>
        </w:rPr>
        <w:t xml:space="preserve"> ao Ente Federativo que aplicou a sanção conforme posicionamento do STJ e PGE/RO.</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5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 Na hipótese de apresentar documentação inverossímil ou de cometer fraude, o licitante poderá sofrer, sem prejuízo da comunicação do ocorrido ao Ministério Público, quaisquer das sanções adiante previstas, que poderão ser aplicadas cumulativamente:</w:t>
      </w:r>
    </w:p>
    <w:p w:rsidR="00000000" w:rsidDel="00000000" w:rsidP="00000000" w:rsidRDefault="00000000" w:rsidRPr="00000000" w14:paraId="0000005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9.16.1 - Desclassificação, se a seleção se encontrar em fase de julgamento;</w:t>
      </w:r>
    </w:p>
    <w:p w:rsidR="00000000" w:rsidDel="00000000" w:rsidP="00000000" w:rsidRDefault="00000000" w:rsidRPr="00000000" w14:paraId="0000005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9.16.2 - Cancelamento do preço registrado, procedendo-se à paralisação do fornecimento.</w:t>
      </w:r>
    </w:p>
    <w:p w:rsidR="00000000" w:rsidDel="00000000" w:rsidP="00000000" w:rsidRDefault="00000000" w:rsidRPr="00000000" w14:paraId="0000005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9.16.3 - O preço registrado poderá ser cancelado pela Administração Pública, nos termos do Artigo 24 e 25 do Decreto 18.340/13, quando:</w:t>
      </w:r>
    </w:p>
    <w:p w:rsidR="00000000" w:rsidDel="00000000" w:rsidP="00000000" w:rsidRDefault="00000000" w:rsidRPr="00000000" w14:paraId="0000005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9.16.3.1 - A Detentora do Registro deixar de cumprir total ou parcial as condições da Ata de Registro de Preços.</w:t>
      </w:r>
    </w:p>
    <w:p w:rsidR="00000000" w:rsidDel="00000000" w:rsidP="00000000" w:rsidRDefault="00000000" w:rsidRPr="00000000" w14:paraId="0000005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9.16.3.2 - A Detentora do Registro não retirar a nota de empenho ou instrumento equivalente no prazo estabelecido, sem justificativa aceita pela Administração;</w:t>
      </w:r>
    </w:p>
    <w:p w:rsidR="00000000" w:rsidDel="00000000" w:rsidP="00000000" w:rsidRDefault="00000000" w:rsidRPr="00000000" w14:paraId="0000005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9.16.3.3 - A detentora incorrer reiteradamente em infrações previstas no Edital;</w:t>
      </w:r>
    </w:p>
    <w:p w:rsidR="00000000" w:rsidDel="00000000" w:rsidP="00000000" w:rsidRDefault="00000000" w:rsidRPr="00000000" w14:paraId="0000005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9.16.3.4 - A Detentora do Registro que praticar atos fraudulentos no intuito de auferir vantagem ilícita;</w:t>
      </w:r>
    </w:p>
    <w:p w:rsidR="00000000" w:rsidDel="00000000" w:rsidP="00000000" w:rsidRDefault="00000000" w:rsidRPr="00000000" w14:paraId="0000005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9.16.3.5 - Não aceitar reduzir o seu preço registrado, na hipótese deste se tornar superior aqueles praticados no mercador ou sofrer sanção prevista nos incisos III ou IV do caput do artigo 87 da Lei 8.666/93 ou no artigo 7º da Lei 10.520/02.</w:t>
      </w:r>
    </w:p>
    <w:p w:rsidR="00000000" w:rsidDel="00000000" w:rsidP="00000000" w:rsidRDefault="00000000" w:rsidRPr="00000000" w14:paraId="0000006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9.16.3.6 - Por razões de interesse público, mediante despacho motivado, devidamente justificado.</w:t>
      </w:r>
    </w:p>
    <w:p w:rsidR="00000000" w:rsidDel="00000000" w:rsidP="00000000" w:rsidRDefault="00000000" w:rsidRPr="00000000" w14:paraId="0000006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9.16.3.7 - O cancelamento do(s) registro(s) nas hipóteses dos subitens, 9.16.3.1, 9.16.3.2, 9.16.3.3, 9.16.3.4, 9.16.3.5, 9.16.3.6, será formalizado por despacho do órgão gerenciador, assegurado o contraditório e a ampla defesa.</w:t>
      </w:r>
    </w:p>
    <w:p w:rsidR="00000000" w:rsidDel="00000000" w:rsidP="00000000" w:rsidRDefault="00000000" w:rsidRPr="00000000" w14:paraId="0000006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9.16.3.8 - O cancelamento do(s) registro nas hipóteses dos subitens acima, 9.16.3.1, 9.16.3.2, 9.16.3.3, 9.16.3.4, 9.16.3.5, acarretará ainda a aplicação das penalidades cabíveis, assegurado o contraditório e a ampla defesa.</w:t>
      </w:r>
    </w:p>
    <w:p w:rsidR="00000000" w:rsidDel="00000000" w:rsidP="00000000" w:rsidRDefault="00000000" w:rsidRPr="00000000" w14:paraId="0000006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9.16.3.9 - O cancelamento do registro de preços poderá ocorrer por fato superveniente, decorrente de caso fortuito ou força maior, que prejudique o cumprimento da ata, devidamente comprovados e justificados: </w:t>
      </w:r>
    </w:p>
    <w:p w:rsidR="00000000" w:rsidDel="00000000" w:rsidP="00000000" w:rsidRDefault="00000000" w:rsidRPr="00000000" w14:paraId="00000064">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Por razões de interesse público;</w:t>
      </w:r>
    </w:p>
    <w:p w:rsidR="00000000" w:rsidDel="00000000" w:rsidP="00000000" w:rsidRDefault="00000000" w:rsidRPr="00000000" w14:paraId="0000006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a pedido do fornecedor, desde que devidamente fundamentado e justificando e estando em consonância com a legislação vigente. </w:t>
      </w:r>
    </w:p>
    <w:p w:rsidR="00000000" w:rsidDel="00000000" w:rsidP="00000000" w:rsidRDefault="00000000" w:rsidRPr="00000000" w14:paraId="0000006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000000" w:rsidDel="00000000" w:rsidP="00000000" w:rsidRDefault="00000000" w:rsidRPr="00000000" w14:paraId="0000006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 As sanções aqui previstas poderão ser aplicadas concomitantemente, facultada a defesa previa do interessado, no respectivo processo, no prazo de 05 (cinco) dias úteis.</w:t>
      </w:r>
    </w:p>
    <w:p w:rsidR="00000000" w:rsidDel="00000000" w:rsidP="00000000" w:rsidRDefault="00000000" w:rsidRPr="00000000" w14:paraId="0000006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9.19 - Após 30 (trinta) dias corridos da falta de execução do objeto será considerada inexecução total do contrato, o que ensejara a rescisão contratual.</w:t>
      </w:r>
    </w:p>
    <w:p w:rsidR="00000000" w:rsidDel="00000000" w:rsidP="00000000" w:rsidRDefault="00000000" w:rsidRPr="00000000" w14:paraId="0000006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9.20 - Para efeito de aplicação de multas, as infrações são atribuídas graus, com percentuais de multa conforme a tabela a seguir, que elenca apenas as principais situações previstas, não eximindo de outras equivalentes que surgirem, conforme o caso:</w:t>
      </w:r>
    </w:p>
    <w:tbl>
      <w:tblPr>
        <w:tblStyle w:val="Table1"/>
        <w:tblW w:w="971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30"/>
        <w:gridCol w:w="6995"/>
        <w:gridCol w:w="890"/>
        <w:gridCol w:w="995"/>
        <w:tblGridChange w:id="0">
          <w:tblGrid>
            <w:gridCol w:w="830"/>
            <w:gridCol w:w="6995"/>
            <w:gridCol w:w="890"/>
            <w:gridCol w:w="995"/>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a entrega dos materiais médicos hospitalares,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Entregar os materiais médicos hospitalares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8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8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informação pérfida referente à entrega dos materiais médicos hospitalares, por ocorrência.</w:t>
            </w:r>
          </w:p>
        </w:tc>
        <w:tc>
          <w:tcPr>
            <w:tcMar>
              <w:top w:w="100.0" w:type="dxa"/>
              <w:left w:w="100.0" w:type="dxa"/>
              <w:bottom w:w="100.0" w:type="dxa"/>
              <w:right w:w="100.0" w:type="dxa"/>
            </w:tcMar>
            <w:vAlign w:val="top"/>
          </w:tcPr>
          <w:p w:rsidR="00000000" w:rsidDel="00000000" w:rsidP="00000000" w:rsidRDefault="00000000" w:rsidRPr="00000000" w14:paraId="0000008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8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o pagamento de seguros, encargos fiscais e sociais, assim como quaisquer despesas diretas e/ou indiretas relacionadas à entrega dos materiais médicos hospitalares;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prazo previamente estabelecido com a fiscalização para fornecimento dos materiais médicos hospitalares;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a entrega dos materiais médicos hospitalares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9E">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1"/>
          <w:sz w:val="16"/>
          <w:szCs w:val="16"/>
          <w:rtl w:val="0"/>
        </w:rPr>
        <w:t xml:space="preserve">Incidente sobre a parcela inadimplida do contrato.</w:t>
      </w:r>
    </w:p>
    <w:p w:rsidR="00000000" w:rsidDel="00000000" w:rsidP="00000000" w:rsidRDefault="00000000" w:rsidRPr="00000000" w14:paraId="0000009F">
      <w:pPr>
        <w:spacing w:after="120" w:before="12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0">
      <w:pPr>
        <w:spacing w:after="0" w:before="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A2">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3">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sou entidades municipais, distritais ou estaduais a adesão a ata de registro de preços da Administração Pública Estadual.</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8">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9">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3">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B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B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B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9">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SESAU - Secretaria de Estado da Saúde de Rondônia </w:t>
      </w:r>
      <w:r w:rsidDel="00000000" w:rsidR="00000000" w:rsidRPr="00000000">
        <w:rPr>
          <w:rtl w:val="0"/>
        </w:rPr>
      </w:r>
    </w:p>
    <w:p w:rsidR="00000000" w:rsidDel="00000000" w:rsidP="00000000" w:rsidRDefault="00000000" w:rsidRPr="00000000" w14:paraId="000000C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CB">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C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C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C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C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0">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1">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D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4">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5">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D6">
      <w:pPr>
        <w:ind w:right="47"/>
        <w:rPr>
          <w:rFonts w:ascii="Arial" w:cs="Arial" w:eastAsia="Arial" w:hAnsi="Arial"/>
          <w:b w:val="1"/>
          <w:color w:val="000000"/>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tl w:val="0"/>
        </w:rPr>
      </w:r>
    </w:p>
    <w:p w:rsidR="00000000" w:rsidDel="00000000" w:rsidP="00000000" w:rsidRDefault="00000000" w:rsidRPr="00000000" w14:paraId="000000D7">
      <w:pPr>
        <w:ind w:right="47"/>
        <w:rPr>
          <w:rFonts w:ascii="Arial" w:cs="Arial" w:eastAsia="Arial" w:hAnsi="Arial"/>
          <w:b w:val="1"/>
          <w:color w:val="000000"/>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color w:val="000000"/>
          <w:sz w:val="16"/>
          <w:szCs w:val="16"/>
          <w:rtl w:val="0"/>
        </w:rPr>
        <w:t xml:space="preserve">MÁRCIO ROGÉRIO GABRIEL</w:t>
        <w:tab/>
        <w:tab/>
        <w:t xml:space="preserve">             </w:t>
      </w:r>
      <w:r w:rsidDel="00000000" w:rsidR="00000000" w:rsidRPr="00000000">
        <w:rPr>
          <w:rFonts w:ascii="Arial" w:cs="Arial" w:eastAsia="Arial" w:hAnsi="Arial"/>
          <w:b w:val="1"/>
          <w:sz w:val="16"/>
          <w:szCs w:val="16"/>
          <w:rtl w:val="0"/>
        </w:rPr>
        <w:t xml:space="preserve">MARCIA CARVALHO GUEDES</w:t>
      </w:r>
      <w:r w:rsidDel="00000000" w:rsidR="00000000" w:rsidRPr="00000000">
        <w:rPr>
          <w:rtl w:val="0"/>
        </w:rPr>
      </w:r>
    </w:p>
    <w:p w:rsidR="00000000" w:rsidDel="00000000" w:rsidP="00000000" w:rsidRDefault="00000000" w:rsidRPr="00000000" w14:paraId="000000D8">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D9">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A">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D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DD">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E">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sB+hED6R4PzW9wtrEtFdOZh4tA==">AMUW2mVsqv9pVuCA+QiUngDnLZhJI6ePXsbUSjTN1Bt6w6ybd+AzPaguU6U1XWqsNMH7RyJrs2OT47nlVeXOnXvQiqL3yMqwjUE83BglB32+HgHV98sLFEkKxfixzsMhV1gKGLfnVl1dKfhBpmwrWnVhO4HKAzObVQ==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