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2"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329/2020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171/2019</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0015.022715/2020-14</w:t>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rPr>
          <w:rFonts w:ascii="Arial" w:cs="Arial" w:eastAsia="Arial" w:hAnsi="Arial"/>
          <w:sz w:val="16"/>
          <w:szCs w:val="16"/>
        </w:rPr>
      </w:pPr>
      <w:r w:rsidDel="00000000" w:rsidR="00000000" w:rsidRPr="00000000">
        <w:rPr>
          <w:rFonts w:ascii="Arial" w:cs="Arial" w:eastAsia="Arial" w:hAnsi="Arial"/>
          <w:sz w:val="16"/>
          <w:szCs w:val="16"/>
          <w:rtl w:val="0"/>
        </w:rPr>
        <w:t xml:space="preserve">Pelo presente instrumento, o </w:t>
      </w:r>
      <w:r w:rsidDel="00000000" w:rsidR="00000000" w:rsidRPr="00000000">
        <w:rPr>
          <w:rFonts w:ascii="Arial" w:cs="Arial" w:eastAsia="Arial" w:hAnsi="Arial"/>
          <w:b w:val="1"/>
          <w:sz w:val="16"/>
          <w:szCs w:val="16"/>
          <w:rtl w:val="0"/>
        </w:rPr>
        <w:t xml:space="preserve">ESTADO DE RONDÔNIA</w:t>
      </w:r>
      <w:r w:rsidDel="00000000" w:rsidR="00000000" w:rsidRPr="00000000">
        <w:rPr>
          <w:rFonts w:ascii="Arial" w:cs="Arial" w:eastAsia="Arial" w:hAnsi="Arial"/>
          <w:sz w:val="16"/>
          <w:szCs w:val="16"/>
          <w:rtl w:val="0"/>
        </w:rPr>
        <w:t xml:space="preserve">,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16"/>
          <w:szCs w:val="16"/>
          <w:rtl w:val="0"/>
        </w:rPr>
        <w:t xml:space="preserve">O</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16"/>
          <w:szCs w:val="16"/>
          <w:rtl w:val="0"/>
        </w:rPr>
        <w:t xml:space="preserve">PREÇO</w:t>
      </w:r>
      <w:r w:rsidDel="00000000" w:rsidR="00000000" w:rsidRPr="00000000">
        <w:rPr>
          <w:rFonts w:ascii="Arial" w:cs="Arial" w:eastAsia="Arial" w:hAnsi="Arial"/>
          <w:color w:val="000000"/>
          <w:sz w:val="16"/>
          <w:szCs w:val="16"/>
          <w:rtl w:val="0"/>
        </w:rPr>
        <w:t xml:space="preserve"> para futura e eventual aquisição de </w:t>
      </w:r>
      <w:r w:rsidDel="00000000" w:rsidR="00000000" w:rsidRPr="00000000">
        <w:rPr>
          <w:rFonts w:ascii="Arial" w:cs="Arial" w:eastAsia="Arial" w:hAnsi="Arial"/>
          <w:sz w:val="16"/>
          <w:szCs w:val="16"/>
          <w:rtl w:val="0"/>
        </w:rPr>
        <w:t xml:space="preserve">veículos novos 0 km (zero quilômetro) tipo caminhonete pick up</w:t>
      </w:r>
      <w:r w:rsidDel="00000000" w:rsidR="00000000" w:rsidRPr="00000000">
        <w:rPr>
          <w:rFonts w:ascii="Arial" w:cs="Arial" w:eastAsia="Arial" w:hAnsi="Arial"/>
          <w:color w:val="000000"/>
          <w:sz w:val="16"/>
          <w:szCs w:val="16"/>
          <w:rtl w:val="0"/>
        </w:rPr>
        <w:t xml:space="preserve">, com objetivo de atender as necessidades da Agência de Defesa Sanitária Agrosilvopastoril do Estado de Rondônia – IDARON</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C">
      <w:pPr>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E">
      <w:pP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Registro de Preços para futura e eventual aquisição de</w:t>
      </w:r>
      <w:r w:rsidDel="00000000" w:rsidR="00000000" w:rsidRPr="00000000">
        <w:rPr>
          <w:rFonts w:ascii="Arial" w:cs="Arial" w:eastAsia="Arial" w:hAnsi="Arial"/>
          <w:sz w:val="16"/>
          <w:szCs w:val="16"/>
          <w:rtl w:val="0"/>
        </w:rPr>
        <w:t xml:space="preserve">veículos novos 0 km (zero quilômetro) tipo caminhonete pick up</w:t>
      </w:r>
      <w:r w:rsidDel="00000000" w:rsidR="00000000" w:rsidRPr="00000000">
        <w:rPr>
          <w:rFonts w:ascii="Arial" w:cs="Arial" w:eastAsia="Arial" w:hAnsi="Arial"/>
          <w:color w:val="000000"/>
          <w:sz w:val="16"/>
          <w:szCs w:val="16"/>
          <w:rtl w:val="0"/>
        </w:rPr>
        <w:t xml:space="preserve">, com objetivo de atender as necessidades da Agência de Defesa Sanitária Agrosilvopastoril do Estado de Rondônia – IDARON.</w:t>
      </w:r>
    </w:p>
    <w:p w:rsidR="00000000" w:rsidDel="00000000" w:rsidP="00000000" w:rsidRDefault="00000000" w:rsidRPr="00000000" w14:paraId="0000000F">
      <w:pPr>
        <w:ind w:right="0"/>
        <w:jc w:val="both"/>
        <w:rPr>
          <w:rFonts w:ascii="Arial" w:cs="Arial" w:eastAsia="Arial" w:hAnsi="Arial"/>
          <w:color w:val="ff0000"/>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E LOCAL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PRAZO DE ENTREGA</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sz w:val="16"/>
          <w:szCs w:val="16"/>
          <w:u w:val="single"/>
          <w:rtl w:val="0"/>
        </w:rPr>
        <w:t xml:space="preserve">no prazo máximo de até 90 (noventa) dias, tendo como termo inicial a data da última assinatura no instrumento contratual.</w:t>
      </w:r>
      <w:r w:rsidDel="00000000" w:rsidR="00000000" w:rsidRPr="00000000">
        <w:rPr>
          <w:rtl w:val="0"/>
        </w:rPr>
      </w:r>
    </w:p>
    <w:p w:rsidR="00000000" w:rsidDel="00000000" w:rsidP="00000000" w:rsidRDefault="00000000" w:rsidRPr="00000000" w14:paraId="00000025">
      <w:pPr>
        <w:rPr>
          <w:rFonts w:ascii="Arial" w:cs="Arial" w:eastAsia="Arial" w:hAnsi="Arial"/>
          <w:sz w:val="16"/>
          <w:szCs w:val="16"/>
        </w:rPr>
      </w:pP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6">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6.4. DO LOCAL DE ENTREGA: A entrega dos bens com os correspondentes Termos ou Certificados de Garantia, emitidos pelo respectivo fabricante ou representante legal, deverão ser entregues no Almoxarifado da Agência IDARON, localizado à BR 364, Km 07, nº 9280 C, Bairro Aeroclube, município de Porto Velho/RO, de segunda à sexta-feira, das 07h:30min às 13h:30min, </w:t>
      </w:r>
      <w:r w:rsidDel="00000000" w:rsidR="00000000" w:rsidRPr="00000000">
        <w:rPr>
          <w:rtl w:val="0"/>
        </w:rPr>
      </w:r>
    </w:p>
    <w:p w:rsidR="00000000" w:rsidDel="00000000" w:rsidP="00000000" w:rsidRDefault="00000000" w:rsidRPr="00000000" w14:paraId="0000002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2">
      <w:pPr>
        <w:ind w:left="0" w:right="60" w:firstLine="0"/>
        <w:jc w:val="left"/>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3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 Aos adjudicatários que descumprirem total ou parcialmente os contratos celebrados com a Administração Pública Estadual, serão aplicadas as sanções previstas nos artigos 86 a 87 da Lei Federal nº 8.666/93, e demais cominações legais, com observância ao devido processo administrativo, respeitando-se o contraditório e a ampla defesa.</w:t>
      </w:r>
    </w:p>
    <w:p w:rsidR="00000000" w:rsidDel="00000000" w:rsidP="00000000" w:rsidRDefault="00000000" w:rsidRPr="00000000" w14:paraId="0000003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 Em caso de inexecução parcial ou total das condições fixadas na licitação, execução imperfeita, inadimplemento contratual, não veracidade das informações ou mora de execução, erros ou atraso na entrega e quaisquer outras irregularidades, a Administração poderá, a seu critério, isolada ou cumulativamente, garantida a prévia defesa, aplicar à empresa adjudicatária as seguintes penalidades:</w:t>
      </w:r>
    </w:p>
    <w:p w:rsidR="00000000" w:rsidDel="00000000" w:rsidP="00000000" w:rsidRDefault="00000000" w:rsidRPr="00000000" w14:paraId="0000003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u w:val="single"/>
          <w:rtl w:val="0"/>
        </w:rPr>
        <w:t xml:space="preserve">9.3. Advertência escrita</w:t>
      </w:r>
      <w:r w:rsidDel="00000000" w:rsidR="00000000" w:rsidRPr="00000000">
        <w:rPr>
          <w:rFonts w:ascii="Arial" w:cs="Arial" w:eastAsia="Arial" w:hAnsi="Arial"/>
          <w:sz w:val="16"/>
          <w:szCs w:val="16"/>
          <w:rtl w:val="0"/>
        </w:rPr>
        <w:t xml:space="preserve"> – a comunicação formal ao fornecedor, advertindo-lhe sobre o descumprimento de obrigação legal assumida, determinando que seja sanada a impropriedade e, notificando que, em caso de reincidência, sanção mais elevada poderá ser aplicada.</w:t>
      </w:r>
    </w:p>
    <w:p w:rsidR="00000000" w:rsidDel="00000000" w:rsidP="00000000" w:rsidRDefault="00000000" w:rsidRPr="00000000" w14:paraId="0000003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u w:val="single"/>
          <w:rtl w:val="0"/>
        </w:rPr>
        <w:t xml:space="preserve">9.4. Multa</w:t>
      </w:r>
      <w:r w:rsidDel="00000000" w:rsidR="00000000" w:rsidRPr="00000000">
        <w:rPr>
          <w:rFonts w:ascii="Arial" w:cs="Arial" w:eastAsia="Arial" w:hAnsi="Arial"/>
          <w:sz w:val="16"/>
          <w:szCs w:val="16"/>
          <w:rtl w:val="0"/>
        </w:rPr>
        <w:t xml:space="preserve"> – que deverá observar os seguintes limites máximos:</w:t>
      </w:r>
    </w:p>
    <w:p w:rsidR="00000000" w:rsidDel="00000000" w:rsidP="00000000" w:rsidRDefault="00000000" w:rsidRPr="00000000" w14:paraId="0000003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9.5. De 0,3% (três décimos por cento) por dia, até o trigésimo dia, no caso de atrasos na entrega, sobre o valor da parte inadimplida do contrato;</w:t>
      </w:r>
    </w:p>
    <w:p w:rsidR="00000000" w:rsidDel="00000000" w:rsidP="00000000" w:rsidRDefault="00000000" w:rsidRPr="00000000" w14:paraId="0000003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9.6. Até o limite de 20% (vinte por cento)</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 xml:space="preserve">sobre o valor do contrato</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 xml:space="preserve">para as infrações estipuladas na Tabela 2, de acordo com os percentuais previstos na Tabela 1;</w:t>
      </w:r>
    </w:p>
    <w:p w:rsidR="00000000" w:rsidDel="00000000" w:rsidP="00000000" w:rsidRDefault="00000000" w:rsidRPr="00000000" w14:paraId="0000003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9.7. De 10% (dez por cento) sobre o valor da nota de empenho ou do contrato, em caso de recusa do adjudicatário em efetuar o reforço de garantia;</w:t>
      </w:r>
    </w:p>
    <w:p w:rsidR="00000000" w:rsidDel="00000000" w:rsidP="00000000" w:rsidRDefault="00000000" w:rsidRPr="00000000" w14:paraId="0000003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9.8. De 20% (vinte por cento) sobre o valor do fornecimento, nas hipóteses de não realização dos serviços total ou parcialmente, de realização com atraso superior a 30 (trinta) dias, ou de entrega de objeto com vícios ou defeitos ocultos que o tornem impróprio ao uso a que é destinado, ou diminuam-lhe o valor ou, ainda, fora das especificações contratadas.</w:t>
      </w:r>
    </w:p>
    <w:p w:rsidR="00000000" w:rsidDel="00000000" w:rsidP="00000000" w:rsidRDefault="00000000" w:rsidRPr="00000000" w14:paraId="0000003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9.9. O valor da multa aplicada será descontado do valor da garantia prestada, retido dos pagamentos devidos pela Administração Pública Estadual ou ainda, cobrado judicialmente, nos termos dos §§ 2º e 3º do artigo 86, da Lei nº 8.666/93.</w:t>
      </w:r>
    </w:p>
    <w:p w:rsidR="00000000" w:rsidDel="00000000" w:rsidP="00000000" w:rsidRDefault="00000000" w:rsidRPr="00000000" w14:paraId="0000003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9.10.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u w:val="single"/>
          <w:rtl w:val="0"/>
        </w:rPr>
        <w:t xml:space="preserve">9.11. Suspensão temporária de participação em licitação e impedimento de contratar com a Administração Pública Estadual</w:t>
      </w:r>
      <w:r w:rsidDel="00000000" w:rsidR="00000000" w:rsidRPr="00000000">
        <w:rPr>
          <w:rFonts w:ascii="Arial" w:cs="Arial" w:eastAsia="Arial" w:hAnsi="Arial"/>
          <w:sz w:val="16"/>
          <w:szCs w:val="16"/>
          <w:rtl w:val="0"/>
        </w:rPr>
        <w:t xml:space="preserve">, impedindo o fornecedor de licitar e contratar com a Administração Pública Estadual pelos seguintes prazos:</w:t>
      </w:r>
    </w:p>
    <w:p w:rsidR="00000000" w:rsidDel="00000000" w:rsidP="00000000" w:rsidRDefault="00000000" w:rsidRPr="00000000" w14:paraId="0000003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9.12. De 6 (seis) meses, nos casos de:</w:t>
      </w:r>
    </w:p>
    <w:p w:rsidR="00000000" w:rsidDel="00000000" w:rsidP="00000000" w:rsidRDefault="00000000" w:rsidRPr="00000000" w14:paraId="0000003F">
      <w:pPr>
        <w:numPr>
          <w:ilvl w:val="0"/>
          <w:numId w:val="3"/>
        </w:numPr>
        <w:spacing w:after="0" w:afterAutospacing="0" w:before="24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Alteração de substância, qualidade ou quantidade da mercadoria fornecida; ou</w:t>
      </w:r>
    </w:p>
    <w:p w:rsidR="00000000" w:rsidDel="00000000" w:rsidP="00000000" w:rsidRDefault="00000000" w:rsidRPr="00000000" w14:paraId="00000040">
      <w:pPr>
        <w:numPr>
          <w:ilvl w:val="0"/>
          <w:numId w:val="3"/>
        </w:numPr>
        <w:spacing w:after="24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Prestação de serviço de baixa qualidade.</w:t>
      </w:r>
    </w:p>
    <w:p w:rsidR="00000000" w:rsidDel="00000000" w:rsidP="00000000" w:rsidRDefault="00000000" w:rsidRPr="00000000" w14:paraId="0000004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9.12. De 12 (doze) meses, no caso do descumprimento de especificação técnica relativa ao objeto previsto no contrato.</w:t>
      </w:r>
    </w:p>
    <w:p w:rsidR="00000000" w:rsidDel="00000000" w:rsidP="00000000" w:rsidRDefault="00000000" w:rsidRPr="00000000" w14:paraId="0000004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9.13. De 24 (vinte e quatro) meses, nos casos de:</w:t>
      </w:r>
    </w:p>
    <w:p w:rsidR="00000000" w:rsidDel="00000000" w:rsidP="00000000" w:rsidRDefault="00000000" w:rsidRPr="00000000" w14:paraId="00000043">
      <w:pPr>
        <w:numPr>
          <w:ilvl w:val="0"/>
          <w:numId w:val="4"/>
        </w:numPr>
        <w:spacing w:after="0" w:afterAutospacing="0" w:before="24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Retardamento imotivado no fornecimento do objeto;</w:t>
      </w:r>
    </w:p>
    <w:p w:rsidR="00000000" w:rsidDel="00000000" w:rsidP="00000000" w:rsidRDefault="00000000" w:rsidRPr="00000000" w14:paraId="00000044">
      <w:pPr>
        <w:numPr>
          <w:ilvl w:val="0"/>
          <w:numId w:val="4"/>
        </w:numPr>
        <w:spacing w:after="0" w:afterAutospacing="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Paralisação no fornecimento do bem, sem justa causa e prévia comunicação à Administração Pública Estadual;</w:t>
      </w:r>
    </w:p>
    <w:p w:rsidR="00000000" w:rsidDel="00000000" w:rsidP="00000000" w:rsidRDefault="00000000" w:rsidRPr="00000000" w14:paraId="00000045">
      <w:pPr>
        <w:numPr>
          <w:ilvl w:val="0"/>
          <w:numId w:val="4"/>
        </w:numPr>
        <w:spacing w:after="0" w:afterAutospacing="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Entrega de mercadoria falsificada, furtada, deteriorada, danificada ou inadequada para o uso, como se verdadeira ou perfeita fosse;</w:t>
      </w:r>
    </w:p>
    <w:p w:rsidR="00000000" w:rsidDel="00000000" w:rsidP="00000000" w:rsidRDefault="00000000" w:rsidRPr="00000000" w14:paraId="00000046">
      <w:pPr>
        <w:numPr>
          <w:ilvl w:val="0"/>
          <w:numId w:val="4"/>
        </w:numPr>
        <w:spacing w:after="0" w:afterAutospacing="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Praticar ato ilícito visando frustrar os objetivos de licitação no âmbito da Administração Pública Estadual; ou</w:t>
      </w:r>
    </w:p>
    <w:p w:rsidR="00000000" w:rsidDel="00000000" w:rsidP="00000000" w:rsidRDefault="00000000" w:rsidRPr="00000000" w14:paraId="00000047">
      <w:pPr>
        <w:numPr>
          <w:ilvl w:val="0"/>
          <w:numId w:val="4"/>
        </w:numPr>
        <w:spacing w:after="24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Sofrer condenação definitiva por praticar, por meio doloso, fraude fiscal no recolhimento de qualquer tributo;</w:t>
      </w:r>
    </w:p>
    <w:p w:rsidR="00000000" w:rsidDel="00000000" w:rsidP="00000000" w:rsidRDefault="00000000" w:rsidRPr="00000000" w14:paraId="0000004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9.14. De até 5 (cinco) anos, no caso de licitação na modalidade Pregão, nas situações previstas no art. 7º da Lei 10.520/2002 ou de 2 (dois) anos, nas demais modalidades licitatórias.</w:t>
      </w:r>
    </w:p>
    <w:p w:rsidR="00000000" w:rsidDel="00000000" w:rsidP="00000000" w:rsidRDefault="00000000" w:rsidRPr="00000000" w14:paraId="0000004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u w:val="single"/>
          <w:rtl w:val="0"/>
        </w:rPr>
        <w:t xml:space="preserve">9.15. Declaração de inidoneidade para licitar ou contratar com a Administração Pública</w:t>
      </w:r>
      <w:r w:rsidDel="00000000" w:rsidR="00000000" w:rsidRPr="00000000">
        <w:rPr>
          <w:rFonts w:ascii="Arial" w:cs="Arial" w:eastAsia="Arial" w:hAnsi="Arial"/>
          <w:sz w:val="16"/>
          <w:szCs w:val="16"/>
          <w:rtl w:val="0"/>
        </w:rPr>
        <w:t xml:space="preserve">, enquanto perdurarem os motivos determinantes da punição ou até que seja promovida a reabilitação do fornecedor perante a própria autoridade que aplicou a penalidade, que será concedida sempre que o contratado ressarcir a Administração Pública Estadual pelos prejuízos resultantes de ação ou omissão do mesmo.</w:t>
      </w:r>
    </w:p>
    <w:p w:rsidR="00000000" w:rsidDel="00000000" w:rsidP="00000000" w:rsidRDefault="00000000" w:rsidRPr="00000000" w14:paraId="0000004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9.16. Será declarado inidôneo, ficando impedido de licitar e contratar com Administração Pública Estadual, por tempo indeterminado, o fornecedor que demonstrar não possuir idoneidade para tanto, em virtude de ato ilícito praticado, conforme dispõe o artigo 26, § 2º, do Decreto nº 16.089/2011.</w:t>
      </w:r>
    </w:p>
    <w:p w:rsidR="00000000" w:rsidDel="00000000" w:rsidP="00000000" w:rsidRDefault="00000000" w:rsidRPr="00000000" w14:paraId="0000004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9.17. O fornecedor será excluído do Cadastro de Fornecedores Impedidos de Licitar e Contratar com a Administração Pública Estadual – CAGEFIMP nas seguintes hipóteses, conforme dispõe o artigo 34, inciso II do Decreto nº 16.089/2011:</w:t>
      </w:r>
    </w:p>
    <w:p w:rsidR="00000000" w:rsidDel="00000000" w:rsidP="00000000" w:rsidRDefault="00000000" w:rsidRPr="00000000" w14:paraId="0000004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9.18. Expirado o prazo da suspensão, desde que cumpridas integralmente as punições impostas;</w:t>
      </w:r>
    </w:p>
    <w:p w:rsidR="00000000" w:rsidDel="00000000" w:rsidP="00000000" w:rsidRDefault="00000000" w:rsidRPr="00000000" w14:paraId="0000004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9.19. A pedido do fornecedor declarado inidôneo, decorrido o prazo mínimo de 2 (dois) anos, desde que reabilitado pela Administração Pública Estadual, na forma do disposto no § 3º, do art. 87, da Lei Federal nº 8.666/93; e</w:t>
      </w:r>
    </w:p>
    <w:p w:rsidR="00000000" w:rsidDel="00000000" w:rsidP="00000000" w:rsidRDefault="00000000" w:rsidRPr="00000000" w14:paraId="0000004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9.20. Por determinação judicial.</w:t>
      </w:r>
    </w:p>
    <w:p w:rsidR="00000000" w:rsidDel="00000000" w:rsidP="00000000" w:rsidRDefault="00000000" w:rsidRPr="00000000" w14:paraId="0000004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9.21. As sanções de advertência, suspensão e inidoneidade poderão ser aplicadas juntamente com a multa, conforme dispõe o § 2º do art. 87 da Lei nº 8.666/93, assegurado o direito de defesa prévia do interessado no prazo de 5 (cinco) dias úteis.</w:t>
      </w:r>
    </w:p>
    <w:p w:rsidR="00000000" w:rsidDel="00000000" w:rsidP="00000000" w:rsidRDefault="00000000" w:rsidRPr="00000000" w14:paraId="0000005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9.22. As penalidades de advertência e multa serão aplicadas de ofício ou por provocação dos órgãos de controle, pela autoridade expressamente nomeada no edital ou no instrumento contratual.</w:t>
      </w:r>
    </w:p>
    <w:p w:rsidR="00000000" w:rsidDel="00000000" w:rsidP="00000000" w:rsidRDefault="00000000" w:rsidRPr="00000000" w14:paraId="0000005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9.23. Não será efetuado qualquer pagamento de parcela inadimplida à Contratada enquanto houver pendência de liquidação da obrigação financeira em virtude de penalidade ou inadimplência contratual.</w:t>
      </w:r>
    </w:p>
    <w:p w:rsidR="00000000" w:rsidDel="00000000" w:rsidP="00000000" w:rsidRDefault="00000000" w:rsidRPr="00000000" w14:paraId="0000005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9.24. O descumprimento das obrigações trabalhistas, penalidades ou a não manutenção das condições de habilitação pelo contratado deverá dar ensejo à rescisão contratual, sem prejuízo das demais sanções, sendo vedada a retenção de pagamento se o contratado não incorrer em qualquer inexecução contratual ou não o tiver prestado os serviços a contento.</w:t>
      </w:r>
    </w:p>
    <w:p w:rsidR="00000000" w:rsidDel="00000000" w:rsidP="00000000" w:rsidRDefault="00000000" w:rsidRPr="00000000" w14:paraId="0000005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9.25. A Contratante poderá conceder um prazo para que a Contratada regularize suas obrigações trabalhistas ou suas condições de habilitação, sob pena de rescisão contratual, quando não identificar má-fé ou a incapacidade da empresa de corrigir a situação.</w:t>
      </w:r>
    </w:p>
    <w:p w:rsidR="00000000" w:rsidDel="00000000" w:rsidP="00000000" w:rsidRDefault="00000000" w:rsidRPr="00000000" w14:paraId="0000005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9.26.A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5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9.27.São exemplos de infração administrativa penalizáveis, nos termos da legislação a (o):</w:t>
      </w:r>
    </w:p>
    <w:p w:rsidR="00000000" w:rsidDel="00000000" w:rsidP="00000000" w:rsidRDefault="00000000" w:rsidRPr="00000000" w14:paraId="00000056">
      <w:pPr>
        <w:numPr>
          <w:ilvl w:val="0"/>
          <w:numId w:val="2"/>
        </w:numPr>
        <w:spacing w:after="0" w:afterAutospacing="0" w:before="24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Inexecução total ou parcial do contrato;</w:t>
      </w:r>
    </w:p>
    <w:p w:rsidR="00000000" w:rsidDel="00000000" w:rsidP="00000000" w:rsidRDefault="00000000" w:rsidRPr="00000000" w14:paraId="00000057">
      <w:pPr>
        <w:numPr>
          <w:ilvl w:val="0"/>
          <w:numId w:val="2"/>
        </w:numPr>
        <w:spacing w:after="0" w:afterAutospacing="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Apresentação de documentação falsa;</w:t>
      </w:r>
    </w:p>
    <w:p w:rsidR="00000000" w:rsidDel="00000000" w:rsidP="00000000" w:rsidRDefault="00000000" w:rsidRPr="00000000" w14:paraId="00000058">
      <w:pPr>
        <w:numPr>
          <w:ilvl w:val="0"/>
          <w:numId w:val="2"/>
        </w:numPr>
        <w:spacing w:after="0" w:afterAutospacing="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Comportamento inidôneo;</w:t>
      </w:r>
    </w:p>
    <w:p w:rsidR="00000000" w:rsidDel="00000000" w:rsidP="00000000" w:rsidRDefault="00000000" w:rsidRPr="00000000" w14:paraId="00000059">
      <w:pPr>
        <w:numPr>
          <w:ilvl w:val="0"/>
          <w:numId w:val="2"/>
        </w:numPr>
        <w:spacing w:after="0" w:afterAutospacing="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Fraude fiscal;</w:t>
      </w:r>
    </w:p>
    <w:p w:rsidR="00000000" w:rsidDel="00000000" w:rsidP="00000000" w:rsidRDefault="00000000" w:rsidRPr="00000000" w14:paraId="0000005A">
      <w:pPr>
        <w:numPr>
          <w:ilvl w:val="0"/>
          <w:numId w:val="2"/>
        </w:numPr>
        <w:spacing w:after="24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Descumprimento de qualquer dos deveres elencados no Edital ou no Contrato.</w:t>
      </w:r>
    </w:p>
    <w:p w:rsidR="00000000" w:rsidDel="00000000" w:rsidP="00000000" w:rsidRDefault="00000000" w:rsidRPr="00000000" w14:paraId="0000005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9.30. 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5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9.31. As sanções serão obrigatoriamente registradas no Cadastro de Fornecedores Impedidos de Licitar e Contratar com a Administração Pública Estadual – CAGEFIMP, gerido pela Controladoria Geral do Estado – CGE.</w:t>
      </w:r>
    </w:p>
    <w:p w:rsidR="00000000" w:rsidDel="00000000" w:rsidP="00000000" w:rsidRDefault="00000000" w:rsidRPr="00000000" w14:paraId="0000005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9.32. Também ficam </w:t>
      </w:r>
      <w:r w:rsidDel="00000000" w:rsidR="00000000" w:rsidRPr="00000000">
        <w:rPr>
          <w:rFonts w:ascii="Arial" w:cs="Arial" w:eastAsia="Arial" w:hAnsi="Arial"/>
          <w:b w:val="1"/>
          <w:sz w:val="16"/>
          <w:szCs w:val="16"/>
          <w:u w:val="single"/>
          <w:rtl w:val="0"/>
        </w:rPr>
        <w:t xml:space="preserve">sujeitas</w:t>
      </w:r>
      <w:r w:rsidDel="00000000" w:rsidR="00000000" w:rsidRPr="00000000">
        <w:rPr>
          <w:rFonts w:ascii="Arial" w:cs="Arial" w:eastAsia="Arial" w:hAnsi="Arial"/>
          <w:sz w:val="16"/>
          <w:szCs w:val="16"/>
          <w:rtl w:val="0"/>
        </w:rPr>
        <w:t xml:space="preserve"> às penalidades de suspensão de licitar e impedimento de contratar com o órgão licitante e de declaração de inidoneidade, previstas no subitem anterior, as empresas ou profissionais que, em razão do contrato decorrente da licitação:</w:t>
      </w:r>
    </w:p>
    <w:p w:rsidR="00000000" w:rsidDel="00000000" w:rsidP="00000000" w:rsidRDefault="00000000" w:rsidRPr="00000000" w14:paraId="0000005E">
      <w:pPr>
        <w:numPr>
          <w:ilvl w:val="0"/>
          <w:numId w:val="1"/>
        </w:numPr>
        <w:spacing w:after="0" w:afterAutospacing="0" w:before="24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Tenham sofrido condenações definitivas por praticarem, por meio dolosos, fraude fiscal no recolhimento de tributos;</w:t>
      </w:r>
    </w:p>
    <w:p w:rsidR="00000000" w:rsidDel="00000000" w:rsidP="00000000" w:rsidRDefault="00000000" w:rsidRPr="00000000" w14:paraId="0000005F">
      <w:pPr>
        <w:numPr>
          <w:ilvl w:val="0"/>
          <w:numId w:val="1"/>
        </w:numPr>
        <w:spacing w:after="0" w:afterAutospacing="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Tenham praticado atos ilícitos visando a frustrar os objetivos da licitação;</w:t>
      </w:r>
    </w:p>
    <w:p w:rsidR="00000000" w:rsidDel="00000000" w:rsidP="00000000" w:rsidRDefault="00000000" w:rsidRPr="00000000" w14:paraId="00000060">
      <w:pPr>
        <w:numPr>
          <w:ilvl w:val="0"/>
          <w:numId w:val="1"/>
        </w:numPr>
        <w:spacing w:after="240" w:before="0" w:beforeAutospacing="0" w:lineRule="auto"/>
        <w:ind w:left="720" w:hanging="360"/>
        <w:rPr>
          <w:rFonts w:ascii="Arial" w:cs="Arial" w:eastAsia="Arial" w:hAnsi="Arial"/>
          <w:sz w:val="16"/>
          <w:szCs w:val="16"/>
        </w:rPr>
      </w:pPr>
      <w:r w:rsidDel="00000000" w:rsidR="00000000" w:rsidRPr="00000000">
        <w:rPr>
          <w:rFonts w:ascii="Arial" w:cs="Arial" w:eastAsia="Arial" w:hAnsi="Arial"/>
          <w:sz w:val="16"/>
          <w:szCs w:val="16"/>
          <w:rtl w:val="0"/>
        </w:rPr>
        <w:t xml:space="preserve">Demonstrem não possuir idoneidade para contratar com a Administração em virtude de atos ilícitos praticados.</w:t>
      </w:r>
    </w:p>
    <w:p w:rsidR="00000000" w:rsidDel="00000000" w:rsidP="00000000" w:rsidRDefault="00000000" w:rsidRPr="00000000" w14:paraId="0000006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9.33. A autoridade competente, na aplicação das sanções, levará em consideração a gravidade da conduta do infrator, o caráter educativo da pena, bem como o dano causado à Administração, observado os princípios da proporcionalidade e razoabilidade, penalidades específicas e proporcionais a gravidade dos eventuais descumprimentos contratuais, de acordo com o Acórdão 1453/2009 Plenário – TCU.</w:t>
      </w:r>
    </w:p>
    <w:p w:rsidR="00000000" w:rsidDel="00000000" w:rsidP="00000000" w:rsidRDefault="00000000" w:rsidRPr="00000000" w14:paraId="0000006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9.34. Para efeito de aplicação de multas, às infrações são atribuídos graus, de acordo com as Tabelas 1 e 2:</w:t>
      </w:r>
    </w:p>
    <w:p w:rsidR="00000000" w:rsidDel="00000000" w:rsidP="00000000" w:rsidRDefault="00000000" w:rsidRPr="00000000" w14:paraId="00000063">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TABELA 1</w:t>
      </w:r>
      <w:r w:rsidDel="00000000" w:rsidR="00000000" w:rsidRPr="00000000">
        <w:rPr>
          <w:rtl w:val="0"/>
        </w:rPr>
      </w:r>
    </w:p>
    <w:tbl>
      <w:tblPr>
        <w:tblStyle w:val="Table1"/>
        <w:tblW w:w="6640.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1070"/>
        <w:gridCol w:w="5570"/>
        <w:tblGridChange w:id="0">
          <w:tblGrid>
            <w:gridCol w:w="1070"/>
            <w:gridCol w:w="5570"/>
          </w:tblGrid>
        </w:tblGridChange>
      </w:tblGrid>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6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6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CORRESPONDÊNCIA</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66">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67">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 sobre o valor da parte inadimplida do Contrato</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68">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69">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 sobre o valor da parte inadimplida do Contrato</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6A">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6B">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0,8% sobre o valor da parte inadimplida do Contrato</w:t>
            </w:r>
          </w:p>
        </w:tc>
      </w:tr>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6C">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6D">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1,6% sobre o valor da parte inadimplida do Contrato</w:t>
            </w:r>
          </w:p>
        </w:tc>
      </w:tr>
    </w:tbl>
    <w:p w:rsidR="00000000" w:rsidDel="00000000" w:rsidP="00000000" w:rsidRDefault="00000000" w:rsidRPr="00000000" w14:paraId="0000006E">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6F">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TABELA 2</w:t>
      </w:r>
    </w:p>
    <w:p w:rsidR="00000000" w:rsidDel="00000000" w:rsidP="00000000" w:rsidRDefault="00000000" w:rsidRPr="00000000" w14:paraId="00000070">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tbl>
      <w:tblPr>
        <w:tblStyle w:val="Table2"/>
        <w:tblW w:w="9510.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980"/>
        <w:gridCol w:w="7460"/>
        <w:gridCol w:w="1070"/>
        <w:tblGridChange w:id="0">
          <w:tblGrid>
            <w:gridCol w:w="980"/>
            <w:gridCol w:w="7460"/>
            <w:gridCol w:w="1070"/>
          </w:tblGrid>
        </w:tblGridChange>
      </w:tblGrid>
      <w:tr>
        <w:trPr>
          <w:trHeight w:val="770" w:hRule="atLeast"/>
        </w:trPr>
        <w:tc>
          <w:tcPr>
            <w:gridSpan w:val="3"/>
            <w:tcMar>
              <w:top w:w="100.0" w:type="dxa"/>
              <w:left w:w="100.0" w:type="dxa"/>
              <w:bottom w:w="100.0" w:type="dxa"/>
              <w:right w:w="100.0" w:type="dxa"/>
            </w:tcMar>
            <w:vAlign w:val="top"/>
          </w:tcPr>
          <w:p w:rsidR="00000000" w:rsidDel="00000000" w:rsidP="00000000" w:rsidRDefault="00000000" w:rsidRPr="00000000" w14:paraId="00000071">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INFRAÇÃO</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7">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de causar dano físico, lesão corporal ou consequências letais,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Usar indevidamente informações sigilosas a que teve acesso,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D">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culpa ou dolo de seus agentes,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r>
      <w:tr>
        <w:trPr>
          <w:trHeight w:val="13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0">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Executar fornecimento incompleto, paliativo substitutivo como por caráter permanente, ou deixar de providenciar recomposição complementar,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04</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3">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Fornecer informação pérfida do objeto contratado;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Burlar as vedações expressas no projeto básico,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r>
      <w:tr>
        <w:trPr>
          <w:trHeight w:val="770" w:hRule="atLeast"/>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89">
            <w:pPr>
              <w:spacing w:after="120" w:before="120" w:lineRule="auto"/>
              <w:ind w:left="12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prazo previamente estabelecido para execução de serviços,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F">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Apresentar os produtos conforme exigido, por ocorrência e por dia;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02</w:t>
            </w:r>
          </w:p>
        </w:tc>
      </w:tr>
      <w:tr>
        <w:trPr>
          <w:trHeight w:val="105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2">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e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01</w:t>
            </w:r>
          </w:p>
        </w:tc>
      </w:tr>
      <w:tr>
        <w:trPr>
          <w:trHeight w:val="13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5">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seus Anexos não previstos nesta tabela de multas, após reincidência formalmente notificada pelo órgão fiscalizador, por item e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03</w:t>
            </w:r>
          </w:p>
        </w:tc>
      </w:tr>
    </w:tbl>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p>
    <w:p w:rsidR="00000000" w:rsidDel="00000000" w:rsidP="00000000" w:rsidRDefault="00000000" w:rsidRPr="00000000" w14:paraId="0000009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9A">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9B">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9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A0">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A1">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 o órgão gerenciador poderá:</w:t>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B">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A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A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A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B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B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B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B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B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B6">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B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B8">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B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B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BB">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BC">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BD">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B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C1">
      <w:pPr>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IDARON</w:t>
      </w:r>
      <w:r w:rsidDel="00000000" w:rsidR="00000000" w:rsidRPr="00000000">
        <w:rPr>
          <w:rFonts w:ascii="Arial" w:cs="Arial" w:eastAsia="Arial" w:hAnsi="Arial"/>
          <w:color w:val="000000"/>
          <w:sz w:val="16"/>
          <w:szCs w:val="16"/>
          <w:rtl w:val="0"/>
        </w:rPr>
        <w:t xml:space="preserve"> - Agência de Defesa Sanitária Agrosilvopastoril do Estado de Rondônia.</w:t>
      </w:r>
    </w:p>
    <w:p w:rsidR="00000000" w:rsidDel="00000000" w:rsidP="00000000" w:rsidRDefault="00000000" w:rsidRPr="00000000" w14:paraId="000000C2">
      <w:pPr>
        <w:tabs>
          <w:tab w:val="left" w:pos="3243"/>
        </w:tabs>
        <w:rPr>
          <w:rFonts w:ascii="Arial" w:cs="Arial" w:eastAsia="Arial" w:hAnsi="Arial"/>
          <w:sz w:val="16"/>
          <w:szCs w:val="16"/>
        </w:rPr>
      </w:pPr>
      <w:r w:rsidDel="00000000" w:rsidR="00000000" w:rsidRPr="00000000">
        <w:rPr>
          <w:rFonts w:ascii="Arial" w:cs="Arial" w:eastAsia="Arial" w:hAnsi="Arial"/>
          <w:sz w:val="16"/>
          <w:szCs w:val="16"/>
          <w:rtl w:val="0"/>
        </w:rPr>
        <w:tab/>
      </w:r>
    </w:p>
    <w:p w:rsidR="00000000" w:rsidDel="00000000" w:rsidP="00000000" w:rsidRDefault="00000000" w:rsidRPr="00000000" w14:paraId="000000C3">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C4">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C5">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C6">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C7">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C8">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C9">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CA">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B">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CC">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CD">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CE">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CF">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D0">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1">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D2">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D3">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4">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5">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D6">
      <w:pPr>
        <w:ind w:right="47"/>
        <w:jc w:val="both"/>
        <w:rPr>
          <w:rFonts w:ascii="Arial" w:cs="Arial" w:eastAsia="Arial" w:hAnsi="Arial"/>
          <w:b w:val="1"/>
          <w:color w:val="000000"/>
          <w:sz w:val="10"/>
          <w:szCs w:val="10"/>
        </w:rPr>
      </w:pPr>
      <w:r w:rsidDel="00000000" w:rsidR="00000000" w:rsidRPr="00000000">
        <w:rPr>
          <w:rFonts w:ascii="Arial" w:cs="Arial" w:eastAsia="Arial" w:hAnsi="Arial"/>
          <w:b w:val="1"/>
          <w:color w:val="000000"/>
          <w:sz w:val="10"/>
          <w:szCs w:val="10"/>
          <w:rtl w:val="0"/>
        </w:rPr>
        <w:t xml:space="preserve">FRA/SRP</w:t>
      </w:r>
    </w:p>
    <w:sectPr>
      <w:headerReference r:id="rId8" w:type="default"/>
      <w:pgSz w:h="16840" w:w="11907" w:orient="portrait"/>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7">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34"/>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Borders>
        <w:top w:color="7f7f7f" w:space="0" w:sz="4" w:themeColor="text1" w:themeTint="000080" w:val="single"/>
        <w:bottom w:color="7f7f7f" w:space="0" w:sz="4" w:themeColor="text1" w:themeTint="000080" w:val="single"/>
      </w:tblBorders>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BF2A50"/>
    <w:pPr>
      <w:spacing w:after="100" w:afterAutospacing="1" w:before="100" w:beforeAutospacing="1"/>
    </w:pPr>
    <w:rPr>
      <w:sz w:val="24"/>
      <w:szCs w:val="24"/>
    </w:rPr>
  </w:style>
  <w:style w:type="paragraph" w:styleId="citacao" w:customStyle="1">
    <w:name w:val="citacao"/>
    <w:basedOn w:val="Normal"/>
    <w:rsid w:val="00BF2A50"/>
    <w:pPr>
      <w:spacing w:after="100" w:afterAutospacing="1" w:before="100" w:beforeAutospacing="1"/>
    </w:pPr>
    <w:rPr>
      <w:sz w:val="24"/>
      <w:szCs w:val="24"/>
    </w:rPr>
  </w:style>
  <w:style w:type="paragraph" w:styleId="tabelatextoalinhadoesquerda" w:customStyle="1">
    <w:name w:val="tabela_texto_alinhado_esquerda"/>
    <w:basedOn w:val="Normal"/>
    <w:rsid w:val="00A3410F"/>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0BMS/dswjg8fVR71MT6idxffGQ==">AMUW2mUDsZKXUUQPJQoqv8yBkp7jJv1UI+ovGIa07ZfJZM4SmsALhk/pFzhVWbOCYF74ts9DCF3Q1KeomicLyZNLIVVIAT6DZizyj8ERPSLv1tJW2PcZ/4npffuef3eN/fytwYhCwwnb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2020-02-03T15:17:00Z</dcterms:created>
  <dc:creator>SESAU</dc:creator>
</cp:coreProperties>
</file>