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27B" w:rsidRPr="005C7B77" w:rsidRDefault="002A17DB">
      <w:pPr>
        <w:pBdr>
          <w:top w:val="nil"/>
          <w:left w:val="nil"/>
          <w:bottom w:val="nil"/>
          <w:right w:val="nil"/>
          <w:between w:val="nil"/>
        </w:pBdr>
        <w:tabs>
          <w:tab w:val="center" w:pos="4419"/>
          <w:tab w:val="right" w:pos="8838"/>
        </w:tabs>
        <w:jc w:val="center"/>
        <w:rPr>
          <w:rFonts w:ascii="Arial" w:hAnsi="Arial" w:cs="Arial"/>
          <w:color w:val="000000"/>
          <w:sz w:val="16"/>
          <w:szCs w:val="16"/>
        </w:rPr>
      </w:pPr>
      <w:r w:rsidRPr="005C7B77">
        <w:rPr>
          <w:rFonts w:ascii="Arial" w:hAnsi="Arial" w:cs="Arial"/>
          <w:noProof/>
          <w:color w:val="000000"/>
          <w:sz w:val="16"/>
          <w:szCs w:val="16"/>
        </w:rPr>
        <w:drawing>
          <wp:inline distT="0" distB="0" distL="0" distR="0">
            <wp:extent cx="1995170" cy="846455"/>
            <wp:effectExtent l="0" t="0" r="0" b="0"/>
            <wp:docPr id="2"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rsidR="00A2027B" w:rsidRPr="005C7B77" w:rsidRDefault="002A17DB">
      <w:pPr>
        <w:pBdr>
          <w:top w:val="nil"/>
          <w:left w:val="nil"/>
          <w:bottom w:val="nil"/>
          <w:right w:val="nil"/>
          <w:between w:val="nil"/>
        </w:pBdr>
        <w:tabs>
          <w:tab w:val="center" w:pos="4419"/>
          <w:tab w:val="right" w:pos="8838"/>
        </w:tabs>
        <w:jc w:val="center"/>
        <w:rPr>
          <w:rFonts w:ascii="Arial" w:hAnsi="Arial" w:cs="Arial"/>
          <w:color w:val="000000"/>
          <w:sz w:val="16"/>
          <w:szCs w:val="16"/>
        </w:rPr>
      </w:pPr>
      <w:bookmarkStart w:id="0" w:name="bookmark=id.gjdgxs" w:colFirst="0" w:colLast="0"/>
      <w:bookmarkEnd w:id="0"/>
      <w:r w:rsidRPr="005C7B77">
        <w:rPr>
          <w:rFonts w:ascii="Arial" w:hAnsi="Arial" w:cs="Arial"/>
          <w:color w:val="000000"/>
          <w:sz w:val="16"/>
          <w:szCs w:val="16"/>
        </w:rPr>
        <w:t>SUPERINTENDÊNCIA ESTADUAL DE LICITAÇÕES - SUPEL</w:t>
      </w:r>
    </w:p>
    <w:p w:rsidR="00A2027B" w:rsidRPr="005C7B77" w:rsidRDefault="002A17DB">
      <w:pPr>
        <w:pBdr>
          <w:top w:val="nil"/>
          <w:left w:val="nil"/>
          <w:bottom w:val="nil"/>
          <w:right w:val="nil"/>
          <w:between w:val="nil"/>
        </w:pBdr>
        <w:tabs>
          <w:tab w:val="center" w:pos="4419"/>
          <w:tab w:val="right" w:pos="8838"/>
        </w:tabs>
        <w:jc w:val="center"/>
        <w:rPr>
          <w:rFonts w:ascii="Arial" w:hAnsi="Arial" w:cs="Arial"/>
          <w:color w:val="000000"/>
          <w:sz w:val="16"/>
          <w:szCs w:val="16"/>
        </w:rPr>
      </w:pPr>
      <w:r w:rsidRPr="005C7B77">
        <w:rPr>
          <w:rFonts w:ascii="Arial" w:hAnsi="Arial" w:cs="Arial"/>
          <w:color w:val="000000"/>
          <w:sz w:val="16"/>
          <w:szCs w:val="16"/>
        </w:rPr>
        <w:t>Complexo Rio Madeira - Ed. Pacaás Novos – 2º Andar.</w:t>
      </w:r>
    </w:p>
    <w:p w:rsidR="00A2027B" w:rsidRPr="005C7B77" w:rsidRDefault="002A17DB">
      <w:pPr>
        <w:pBdr>
          <w:top w:val="nil"/>
          <w:left w:val="nil"/>
          <w:bottom w:val="nil"/>
          <w:right w:val="nil"/>
          <w:between w:val="nil"/>
        </w:pBdr>
        <w:tabs>
          <w:tab w:val="center" w:pos="4419"/>
          <w:tab w:val="right" w:pos="8838"/>
        </w:tabs>
        <w:spacing w:after="100"/>
        <w:jc w:val="center"/>
        <w:rPr>
          <w:rFonts w:ascii="Arial" w:hAnsi="Arial" w:cs="Arial"/>
          <w:color w:val="000000"/>
          <w:sz w:val="16"/>
          <w:szCs w:val="16"/>
        </w:rPr>
      </w:pPr>
      <w:r w:rsidRPr="005C7B77">
        <w:rPr>
          <w:rFonts w:ascii="Arial" w:hAnsi="Arial" w:cs="Arial"/>
          <w:color w:val="000000"/>
          <w:sz w:val="16"/>
          <w:szCs w:val="16"/>
        </w:rPr>
        <w:t xml:space="preserve">Porto Velho, Rondônia. </w:t>
      </w:r>
    </w:p>
    <w:p w:rsidR="00A2027B" w:rsidRPr="005C7B77" w:rsidRDefault="00A2027B">
      <w:pPr>
        <w:jc w:val="both"/>
        <w:rPr>
          <w:rFonts w:ascii="Arial" w:eastAsia="Arial" w:hAnsi="Arial" w:cs="Arial"/>
          <w:b/>
          <w:sz w:val="16"/>
          <w:szCs w:val="16"/>
        </w:rPr>
      </w:pPr>
    </w:p>
    <w:p w:rsidR="00A2027B" w:rsidRPr="005C7B77" w:rsidRDefault="00A2027B">
      <w:pPr>
        <w:jc w:val="both"/>
        <w:rPr>
          <w:rFonts w:ascii="Arial" w:eastAsia="Arial" w:hAnsi="Arial" w:cs="Arial"/>
          <w:b/>
          <w:sz w:val="16"/>
          <w:szCs w:val="16"/>
        </w:rPr>
      </w:pPr>
    </w:p>
    <w:p w:rsidR="005C7B77" w:rsidRPr="005C7B77" w:rsidRDefault="005C7B77" w:rsidP="005C7B77">
      <w:pPr>
        <w:rPr>
          <w:rFonts w:ascii="Arial" w:hAnsi="Arial" w:cs="Arial"/>
          <w:color w:val="000000"/>
          <w:sz w:val="16"/>
          <w:szCs w:val="16"/>
        </w:rPr>
      </w:pPr>
      <w:r w:rsidRPr="005C7B77">
        <w:rPr>
          <w:rFonts w:ascii="Arial" w:hAnsi="Arial" w:cs="Arial"/>
          <w:b/>
          <w:bCs/>
          <w:color w:val="000000"/>
          <w:sz w:val="16"/>
          <w:szCs w:val="16"/>
        </w:rPr>
        <w:t>ATA DE REGISTRO DE PREÇOS N° 327/2020</w:t>
      </w:r>
    </w:p>
    <w:p w:rsidR="005C7B77" w:rsidRPr="005C7B77" w:rsidRDefault="005C7B77" w:rsidP="005C7B77">
      <w:pPr>
        <w:rPr>
          <w:rFonts w:ascii="Arial" w:hAnsi="Arial" w:cs="Arial"/>
          <w:color w:val="000000"/>
          <w:sz w:val="16"/>
          <w:szCs w:val="16"/>
        </w:rPr>
      </w:pPr>
      <w:r w:rsidRPr="005C7B77">
        <w:rPr>
          <w:rFonts w:ascii="Arial" w:hAnsi="Arial" w:cs="Arial"/>
          <w:b/>
          <w:bCs/>
          <w:color w:val="000000"/>
          <w:sz w:val="16"/>
          <w:szCs w:val="16"/>
        </w:rPr>
        <w:t>PREGÃO ELETRÔNICO Nº 143/2020</w:t>
      </w:r>
    </w:p>
    <w:p w:rsidR="005C7B77" w:rsidRDefault="005C7B77" w:rsidP="005C7B77">
      <w:pPr>
        <w:rPr>
          <w:rFonts w:ascii="Arial" w:hAnsi="Arial" w:cs="Arial"/>
          <w:b/>
          <w:bCs/>
          <w:color w:val="000000"/>
          <w:sz w:val="16"/>
          <w:szCs w:val="16"/>
        </w:rPr>
      </w:pPr>
      <w:r w:rsidRPr="005C7B77">
        <w:rPr>
          <w:rFonts w:ascii="Arial" w:hAnsi="Arial" w:cs="Arial"/>
          <w:b/>
          <w:bCs/>
          <w:color w:val="000000"/>
          <w:sz w:val="16"/>
          <w:szCs w:val="16"/>
        </w:rPr>
        <w:t>PROCESSO Nº 0036.366278/2019-58</w:t>
      </w:r>
    </w:p>
    <w:p w:rsidR="005C7B77" w:rsidRPr="005C7B77" w:rsidRDefault="005C7B77" w:rsidP="005C7B77">
      <w:pPr>
        <w:rPr>
          <w:rFonts w:ascii="Arial" w:hAnsi="Arial" w:cs="Arial"/>
          <w:color w:val="000000"/>
          <w:sz w:val="16"/>
          <w:szCs w:val="16"/>
        </w:rPr>
      </w:pPr>
    </w:p>
    <w:p w:rsidR="005C7B77" w:rsidRPr="005C7B77" w:rsidRDefault="005C7B77" w:rsidP="005C7B77">
      <w:pPr>
        <w:spacing w:before="120" w:after="120"/>
        <w:ind w:right="120"/>
        <w:jc w:val="both"/>
        <w:rPr>
          <w:rFonts w:ascii="Arial" w:hAnsi="Arial" w:cs="Arial"/>
          <w:color w:val="000000"/>
          <w:sz w:val="16"/>
          <w:szCs w:val="16"/>
        </w:rPr>
      </w:pPr>
      <w:r w:rsidRPr="005C7B77">
        <w:rPr>
          <w:rFonts w:ascii="Arial" w:hAnsi="Arial" w:cs="Arial"/>
          <w:color w:val="000000"/>
          <w:sz w:val="16"/>
          <w:szCs w:val="16"/>
        </w:rPr>
        <w:t>Pelo presente instrumento, o ESTADO DE RONDÔNIA, através da SUPERINTENDÊNCIA ESTADUAL DE L</w:t>
      </w:r>
      <w:r w:rsidR="00435507">
        <w:rPr>
          <w:rFonts w:ascii="Arial" w:hAnsi="Arial" w:cs="Arial"/>
          <w:color w:val="000000"/>
          <w:sz w:val="16"/>
          <w:szCs w:val="16"/>
        </w:rPr>
        <w:t>ICITAÇÕES – SUPEL situada à AV.</w:t>
      </w:r>
      <w:r w:rsidRPr="005C7B77">
        <w:rPr>
          <w:rFonts w:ascii="Arial" w:hAnsi="Arial" w:cs="Arial"/>
          <w:color w:val="000000"/>
          <w:sz w:val="16"/>
          <w:szCs w:val="16"/>
        </w:rPr>
        <w:t>FARQUAR N° 2986 COMPLEXO RIO MADEIRA EDIFÍCIO, RIO PACAÁS NOVOS 2º ANDAR – BAIRRO: PEDRINHAS, neste ato representado pelo Superintendente da SUPEL, Senhor Márcio Rogério Gabriel e a(s) empresa(s) qualificada(s) no Anexo Único desta Ata, resolvem REGISTRAR O PREÇO para futura e eventual Aquisição de Materiais e Equipamentos hospitalares, permanentes, itens fracassados do PE 00203/2019, visando atender as necessidades do Hospital Regional de Cacoal - HRC, a pedido da Secretaria de Estado da Saúde de Rondônia - SESAU/RO,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5C7B77" w:rsidRPr="005C7B77" w:rsidRDefault="005C7B77" w:rsidP="005C6162">
      <w:pPr>
        <w:rPr>
          <w:rFonts w:ascii="Arial" w:hAnsi="Arial" w:cs="Arial"/>
          <w:color w:val="000000"/>
          <w:sz w:val="16"/>
          <w:szCs w:val="16"/>
        </w:rPr>
      </w:pPr>
      <w:r w:rsidRPr="005C7B77">
        <w:rPr>
          <w:rFonts w:ascii="Arial" w:hAnsi="Arial" w:cs="Arial"/>
          <w:b/>
          <w:bCs/>
          <w:color w:val="000000"/>
          <w:sz w:val="16"/>
          <w:szCs w:val="16"/>
        </w:rPr>
        <w:t>1. DO OBJETO </w:t>
      </w:r>
    </w:p>
    <w:p w:rsidR="005C7B77" w:rsidRDefault="005C7B77" w:rsidP="005C6162">
      <w:pPr>
        <w:rPr>
          <w:rFonts w:ascii="Arial" w:hAnsi="Arial" w:cs="Arial"/>
          <w:color w:val="000000"/>
          <w:sz w:val="16"/>
          <w:szCs w:val="16"/>
        </w:rPr>
      </w:pPr>
      <w:r w:rsidRPr="005C7B77">
        <w:rPr>
          <w:rFonts w:ascii="Arial" w:hAnsi="Arial" w:cs="Arial"/>
          <w:color w:val="000000"/>
          <w:sz w:val="16"/>
          <w:szCs w:val="16"/>
        </w:rPr>
        <w:t>REGISTRO DE PREÇO para futura e eventual Aquisição de Materiais e Equipamentos hospitalares, permanentes, itens fracassados do PE 00203/2019, visando atender as necessidades do Hospital Regional de Cacoal - HRC, a pedido da Secretaria de Estado da Saúde de Rondônia - SESAU/RO.</w:t>
      </w:r>
    </w:p>
    <w:p w:rsidR="005C6162" w:rsidRPr="005C7B77" w:rsidRDefault="005C6162" w:rsidP="005C6162">
      <w:pPr>
        <w:rPr>
          <w:rFonts w:ascii="Arial" w:hAnsi="Arial" w:cs="Arial"/>
          <w:color w:val="000000"/>
          <w:sz w:val="16"/>
          <w:szCs w:val="16"/>
        </w:rPr>
      </w:pPr>
    </w:p>
    <w:p w:rsidR="005C6162" w:rsidRDefault="005C7B77" w:rsidP="005C6162">
      <w:pPr>
        <w:rPr>
          <w:rFonts w:ascii="Arial" w:hAnsi="Arial" w:cs="Arial"/>
          <w:b/>
          <w:bCs/>
          <w:color w:val="000000"/>
          <w:sz w:val="16"/>
          <w:szCs w:val="16"/>
        </w:rPr>
      </w:pPr>
      <w:r w:rsidRPr="005C7B77">
        <w:rPr>
          <w:rFonts w:ascii="Arial" w:hAnsi="Arial" w:cs="Arial"/>
          <w:b/>
          <w:bCs/>
          <w:color w:val="000000"/>
          <w:sz w:val="16"/>
          <w:szCs w:val="16"/>
        </w:rPr>
        <w:t>2. DA VIGÊNCIA</w:t>
      </w:r>
    </w:p>
    <w:p w:rsidR="005C7B77" w:rsidRPr="005C7B77" w:rsidRDefault="005C7B77" w:rsidP="005C6162">
      <w:pPr>
        <w:rPr>
          <w:rFonts w:ascii="Arial" w:hAnsi="Arial" w:cs="Arial"/>
          <w:b/>
          <w:bCs/>
          <w:color w:val="000000"/>
          <w:sz w:val="16"/>
          <w:szCs w:val="16"/>
        </w:rPr>
      </w:pPr>
      <w:r w:rsidRPr="005C7B77">
        <w:rPr>
          <w:rFonts w:ascii="Arial" w:hAnsi="Arial" w:cs="Arial"/>
          <w:color w:val="000000"/>
          <w:sz w:val="16"/>
          <w:szCs w:val="16"/>
        </w:rPr>
        <w:t>2.1. O presente Registro de Preços terá validade de 12 (doze) meses, contados a partir de sua publicação no Diário Oficial do Estado.</w:t>
      </w:r>
    </w:p>
    <w:p w:rsidR="005C7B77" w:rsidRDefault="005C7B77" w:rsidP="005C6162">
      <w:pPr>
        <w:rPr>
          <w:rFonts w:ascii="Arial" w:hAnsi="Arial" w:cs="Arial"/>
          <w:color w:val="000000"/>
          <w:sz w:val="16"/>
          <w:szCs w:val="16"/>
        </w:rPr>
      </w:pPr>
      <w:r w:rsidRPr="005C7B77">
        <w:rPr>
          <w:rFonts w:ascii="Arial" w:hAnsi="Arial" w:cs="Arial"/>
          <w:color w:val="000000"/>
          <w:sz w:val="16"/>
          <w:szCs w:val="16"/>
        </w:rPr>
        <w:t>2.1.1. A vigência dos contratos decorrentes do Sistema de Registro de Preços será definida nos instrumentos convocatórios, observado o artigo 57 da Lei 8.666, de 1993, conforme Decreto Estadual nº 18.340/13.</w:t>
      </w:r>
    </w:p>
    <w:p w:rsidR="005C6162" w:rsidRPr="005C7B77" w:rsidRDefault="005C6162" w:rsidP="005C6162">
      <w:pPr>
        <w:rPr>
          <w:rFonts w:ascii="Arial" w:hAnsi="Arial" w:cs="Arial"/>
          <w:color w:val="000000"/>
          <w:sz w:val="16"/>
          <w:szCs w:val="16"/>
        </w:rPr>
      </w:pPr>
    </w:p>
    <w:p w:rsidR="005C7B77" w:rsidRPr="005C7B77" w:rsidRDefault="005C7B77" w:rsidP="005C6162">
      <w:pPr>
        <w:rPr>
          <w:rFonts w:ascii="Arial" w:hAnsi="Arial" w:cs="Arial"/>
          <w:color w:val="000000"/>
          <w:sz w:val="16"/>
          <w:szCs w:val="16"/>
        </w:rPr>
      </w:pPr>
      <w:r w:rsidRPr="005C7B77">
        <w:rPr>
          <w:rFonts w:ascii="Arial" w:hAnsi="Arial" w:cs="Arial"/>
          <w:b/>
          <w:bCs/>
          <w:color w:val="000000"/>
          <w:sz w:val="16"/>
          <w:szCs w:val="16"/>
        </w:rPr>
        <w:t>3. DA GERÊNCIA DA PRESENTE ATA DE REGISTRO DE PREÇOS</w:t>
      </w:r>
    </w:p>
    <w:p w:rsidR="005C7B77" w:rsidRDefault="005C7B77" w:rsidP="005C6162">
      <w:pPr>
        <w:rPr>
          <w:rFonts w:ascii="Arial" w:hAnsi="Arial" w:cs="Arial"/>
          <w:color w:val="000000"/>
          <w:sz w:val="16"/>
          <w:szCs w:val="16"/>
        </w:rPr>
      </w:pPr>
      <w:r w:rsidRPr="005C7B77">
        <w:rPr>
          <w:rFonts w:ascii="Arial" w:hAnsi="Arial" w:cs="Arial"/>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5C6162" w:rsidRPr="005C7B77" w:rsidRDefault="005C6162" w:rsidP="005C6162">
      <w:pPr>
        <w:rPr>
          <w:rFonts w:ascii="Arial" w:hAnsi="Arial" w:cs="Arial"/>
          <w:color w:val="000000"/>
          <w:sz w:val="16"/>
          <w:szCs w:val="16"/>
        </w:rPr>
      </w:pPr>
    </w:p>
    <w:p w:rsidR="005C7B77" w:rsidRPr="005C7B77" w:rsidRDefault="005C7B77" w:rsidP="005C6162">
      <w:pPr>
        <w:rPr>
          <w:rFonts w:ascii="Arial" w:hAnsi="Arial" w:cs="Arial"/>
          <w:color w:val="000000"/>
          <w:sz w:val="16"/>
          <w:szCs w:val="16"/>
        </w:rPr>
      </w:pPr>
      <w:r w:rsidRPr="005C7B77">
        <w:rPr>
          <w:rFonts w:ascii="Arial" w:hAnsi="Arial" w:cs="Arial"/>
          <w:b/>
          <w:bCs/>
          <w:color w:val="000000"/>
          <w:sz w:val="16"/>
          <w:szCs w:val="16"/>
        </w:rPr>
        <w:t>4. DA ESPECIFICAÇÃO, QUANTIDADE E PREÇO </w:t>
      </w:r>
    </w:p>
    <w:p w:rsidR="005C7B77" w:rsidRDefault="005C7B77" w:rsidP="005C6162">
      <w:pPr>
        <w:rPr>
          <w:rFonts w:ascii="Arial" w:hAnsi="Arial" w:cs="Arial"/>
          <w:color w:val="000000"/>
          <w:sz w:val="16"/>
          <w:szCs w:val="16"/>
        </w:rPr>
      </w:pPr>
      <w:r w:rsidRPr="005C7B77">
        <w:rPr>
          <w:rFonts w:ascii="Arial" w:hAnsi="Arial" w:cs="Arial"/>
          <w:color w:val="000000"/>
          <w:sz w:val="16"/>
          <w:szCs w:val="16"/>
        </w:rPr>
        <w:t>4.1. O preço, a quantidade, o fornecedor e a especificação do item registrado nesta Ata, encontram-se indicados no Anexo I deste instrumento.</w:t>
      </w:r>
    </w:p>
    <w:p w:rsidR="005C6162" w:rsidRPr="005C7B77" w:rsidRDefault="005C6162" w:rsidP="005C6162">
      <w:pPr>
        <w:rPr>
          <w:rFonts w:ascii="Arial" w:hAnsi="Arial" w:cs="Arial"/>
          <w:color w:val="000000"/>
          <w:sz w:val="16"/>
          <w:szCs w:val="16"/>
        </w:rPr>
      </w:pPr>
    </w:p>
    <w:p w:rsidR="005C7B77" w:rsidRPr="005C7B77" w:rsidRDefault="005C7B77" w:rsidP="005C6162">
      <w:pPr>
        <w:rPr>
          <w:rFonts w:ascii="Arial" w:hAnsi="Arial" w:cs="Arial"/>
          <w:color w:val="000000"/>
          <w:sz w:val="16"/>
          <w:szCs w:val="16"/>
        </w:rPr>
      </w:pPr>
      <w:r w:rsidRPr="005C7B77">
        <w:rPr>
          <w:rFonts w:ascii="Arial" w:hAnsi="Arial" w:cs="Arial"/>
          <w:b/>
          <w:bCs/>
          <w:color w:val="000000"/>
          <w:sz w:val="16"/>
          <w:szCs w:val="16"/>
        </w:rPr>
        <w:t>5. PRAZOS E CONDIÇÕES DE FORNECIMENTO</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A DETENTORA do registro de preços se obriga, nos termos do Edital e deste instrumento, a:</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5.1. Retirar a Nota de Empenho junto ao órgão solicitante no prazo de até 05 (cinco) dias, contados da convocação;</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5.2. Iniciar o fornecimento do objeto dessa Ata, conforme prazo estabelecido no Termo de Referência e edital de licitações.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5.3. Não será admitida a entrega pela detentora do registro, de qualquer item, sem que esta esteja de posse da respectiva nota de empenho, liberação de fornecimento, ou documento equivalente.       </w:t>
      </w:r>
    </w:p>
    <w:p w:rsidR="005C7B77" w:rsidRDefault="005C7B77" w:rsidP="005C6162">
      <w:pPr>
        <w:rPr>
          <w:rFonts w:ascii="Arial" w:hAnsi="Arial" w:cs="Arial"/>
          <w:color w:val="000000"/>
          <w:sz w:val="16"/>
          <w:szCs w:val="16"/>
        </w:rPr>
      </w:pPr>
      <w:r w:rsidRPr="005C7B77">
        <w:rPr>
          <w:rFonts w:ascii="Arial" w:hAnsi="Arial" w:cs="Arial"/>
          <w:color w:val="000000"/>
          <w:sz w:val="16"/>
          <w:szCs w:val="16"/>
        </w:rPr>
        <w:t>5.4. O objeto e/ou serviço desta ata deverá ser fornecido parcialmente durante a vigência da ata ou contrato, de acordo com as necessidades dos órgãos requerentes, nas quantidades solicitadas pelos mesmos.</w:t>
      </w:r>
    </w:p>
    <w:p w:rsidR="005C6162" w:rsidRPr="005C7B77" w:rsidRDefault="005C6162" w:rsidP="005C6162">
      <w:pPr>
        <w:rPr>
          <w:rFonts w:ascii="Arial" w:hAnsi="Arial" w:cs="Arial"/>
          <w:color w:val="000000"/>
          <w:sz w:val="16"/>
          <w:szCs w:val="16"/>
        </w:rPr>
      </w:pPr>
    </w:p>
    <w:p w:rsidR="005C7B77" w:rsidRPr="005C7B77" w:rsidRDefault="005C7B77" w:rsidP="005C6162">
      <w:pPr>
        <w:rPr>
          <w:rFonts w:ascii="Arial" w:hAnsi="Arial" w:cs="Arial"/>
          <w:color w:val="000000"/>
          <w:sz w:val="16"/>
          <w:szCs w:val="16"/>
        </w:rPr>
      </w:pPr>
      <w:r w:rsidRPr="005C7B77">
        <w:rPr>
          <w:rFonts w:ascii="Arial" w:hAnsi="Arial" w:cs="Arial"/>
          <w:b/>
          <w:bCs/>
          <w:color w:val="000000"/>
          <w:sz w:val="16"/>
          <w:szCs w:val="16"/>
        </w:rPr>
        <w:t>6. DO PRAZO E LOCAL DE ENTREGA</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6.1. No recebimento e aceitação de qualquer item, objeto desta Ata de Registro de Preços, serão observadas as especificações contidas no instrumento convocatório.</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6.2. Expedida a Nota de Empenho, o recebimento de seu objeto ficará condicionado a observância das normas contidas no art. 40, inciso XVI, c/c o art. 73 inciso II, “a” e “b”, da Lei 8.666/93 e alterações.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6.3. DO PRAZO DE ENTREGA:O prazo para entrega e instalação será de até 30 (trinta) dias após o recebimento da Nota de Empenho.  </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6.4. LOCAL/HORÁRIO DA ENTREGA:Os materiais deverão ser entregues na Coordenadoria de Almoxarifado e Patrimônio (CAP), na Rua Aparício de Moraes, nº 4348, ao lado do almoxarifado da AGEVISA e próximo ao CAF II. Funcionamento de segunda a sexta-feira das 7h30min às 13h30min. </w:t>
      </w:r>
    </w:p>
    <w:p w:rsidR="005C7B77" w:rsidRDefault="005C7B77" w:rsidP="005C6162">
      <w:pPr>
        <w:rPr>
          <w:rFonts w:ascii="Arial" w:hAnsi="Arial" w:cs="Arial"/>
          <w:color w:val="000000"/>
          <w:sz w:val="16"/>
          <w:szCs w:val="16"/>
        </w:rPr>
      </w:pPr>
      <w:r w:rsidRPr="005C7B77">
        <w:rPr>
          <w:rFonts w:ascii="Arial" w:hAnsi="Arial" w:cs="Arial"/>
          <w:color w:val="000000"/>
          <w:sz w:val="16"/>
          <w:szCs w:val="16"/>
        </w:rPr>
        <w:t>6.4.1. Os equipamentos referentes ao itens 2,  do anexo I, deverão ser instalados,  na unidade de CACOAL.</w:t>
      </w:r>
    </w:p>
    <w:p w:rsidR="005C6162" w:rsidRPr="005C7B77" w:rsidRDefault="005C6162" w:rsidP="005C6162">
      <w:pPr>
        <w:rPr>
          <w:rFonts w:ascii="Arial" w:hAnsi="Arial" w:cs="Arial"/>
          <w:color w:val="000000"/>
          <w:sz w:val="16"/>
          <w:szCs w:val="16"/>
        </w:rPr>
      </w:pPr>
    </w:p>
    <w:p w:rsidR="005C7B77" w:rsidRPr="005C7B77" w:rsidRDefault="005C7B77" w:rsidP="005C6162">
      <w:pPr>
        <w:rPr>
          <w:rFonts w:ascii="Arial" w:hAnsi="Arial" w:cs="Arial"/>
          <w:color w:val="000000"/>
          <w:sz w:val="16"/>
          <w:szCs w:val="16"/>
        </w:rPr>
      </w:pPr>
      <w:r w:rsidRPr="005C7B77">
        <w:rPr>
          <w:rFonts w:ascii="Arial" w:hAnsi="Arial" w:cs="Arial"/>
          <w:b/>
          <w:bCs/>
          <w:color w:val="000000"/>
          <w:sz w:val="16"/>
          <w:szCs w:val="16"/>
        </w:rPr>
        <w:t>7.  DAS CONDIÇÕES DE PAGAMENTO</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7.1. A empresa detentora da Ata apresentará a Gerência Financeira do Órgão requisitante a nota fiscal referente ao fornecimento efetuado.</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7.2. O respectivo Órgão terá o prazo de 10 (dez) dias úteis, a contar da apresentação da nota fiscal para aceitá-la ou rejeitá-la.</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7.4. A devolução da nota fiscal não aprovada, em hipótese alguma, servirá de pretexto para que a empresa detentora da Ata suspenda quaisquer fornecimentos.</w:t>
      </w:r>
    </w:p>
    <w:p w:rsidR="005C7B77" w:rsidRDefault="005C7B77" w:rsidP="005C6162">
      <w:pPr>
        <w:rPr>
          <w:rFonts w:ascii="Arial" w:hAnsi="Arial" w:cs="Arial"/>
          <w:color w:val="000000"/>
          <w:sz w:val="16"/>
          <w:szCs w:val="16"/>
        </w:rPr>
      </w:pPr>
      <w:r w:rsidRPr="005C7B77">
        <w:rPr>
          <w:rFonts w:ascii="Arial" w:hAnsi="Arial" w:cs="Arial"/>
          <w:color w:val="000000"/>
          <w:sz w:val="16"/>
          <w:szCs w:val="16"/>
        </w:rPr>
        <w:t>7.5. O Estado de Rondônia, através dos órgãos requisitantes, providenciará o pagamento no prazo de até 30 (trinta) dias corridos, contada da data do aceite da nota fiscal.</w:t>
      </w:r>
    </w:p>
    <w:p w:rsidR="005C6162" w:rsidRPr="005C7B77" w:rsidRDefault="005C6162" w:rsidP="005C6162">
      <w:pPr>
        <w:rPr>
          <w:rFonts w:ascii="Arial" w:hAnsi="Arial" w:cs="Arial"/>
          <w:color w:val="000000"/>
          <w:sz w:val="16"/>
          <w:szCs w:val="16"/>
        </w:rPr>
      </w:pPr>
    </w:p>
    <w:p w:rsidR="005C7B77" w:rsidRPr="005C7B77" w:rsidRDefault="005C7B77" w:rsidP="005C6162">
      <w:pPr>
        <w:rPr>
          <w:rFonts w:ascii="Arial" w:hAnsi="Arial" w:cs="Arial"/>
          <w:color w:val="000000"/>
          <w:sz w:val="16"/>
          <w:szCs w:val="16"/>
        </w:rPr>
      </w:pPr>
      <w:r w:rsidRPr="005C7B77">
        <w:rPr>
          <w:rFonts w:ascii="Arial" w:hAnsi="Arial" w:cs="Arial"/>
          <w:b/>
          <w:bCs/>
          <w:color w:val="000000"/>
          <w:sz w:val="16"/>
          <w:szCs w:val="16"/>
        </w:rPr>
        <w:t>8.  DA DOTAÇÃO ORÇAMENTÁRIA</w:t>
      </w:r>
    </w:p>
    <w:p w:rsidR="005C7B77" w:rsidRDefault="005C7B77" w:rsidP="005C6162">
      <w:pPr>
        <w:rPr>
          <w:rFonts w:ascii="Arial" w:hAnsi="Arial" w:cs="Arial"/>
          <w:color w:val="000000"/>
          <w:sz w:val="16"/>
          <w:szCs w:val="16"/>
        </w:rPr>
      </w:pPr>
      <w:r w:rsidRPr="005C7B77">
        <w:rPr>
          <w:rFonts w:ascii="Arial" w:hAnsi="Arial" w:cs="Arial"/>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5C6162" w:rsidRPr="005C7B77" w:rsidRDefault="005C6162" w:rsidP="005C6162">
      <w:pPr>
        <w:rPr>
          <w:rFonts w:ascii="Arial" w:hAnsi="Arial" w:cs="Arial"/>
          <w:color w:val="000000"/>
          <w:sz w:val="16"/>
          <w:szCs w:val="16"/>
        </w:rPr>
      </w:pPr>
    </w:p>
    <w:p w:rsidR="005C7B77" w:rsidRPr="005C7B77" w:rsidRDefault="005C7B77" w:rsidP="005C6162">
      <w:pPr>
        <w:rPr>
          <w:rFonts w:ascii="Arial" w:hAnsi="Arial" w:cs="Arial"/>
          <w:color w:val="000000"/>
          <w:sz w:val="16"/>
          <w:szCs w:val="16"/>
        </w:rPr>
      </w:pPr>
      <w:r w:rsidRPr="005C7B77">
        <w:rPr>
          <w:rFonts w:ascii="Arial" w:hAnsi="Arial" w:cs="Arial"/>
          <w:b/>
          <w:bCs/>
          <w:color w:val="000000"/>
          <w:sz w:val="16"/>
          <w:szCs w:val="16"/>
        </w:rPr>
        <w:t>9. DAS SANÇÕES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9.1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9.5 As multas previstas nesta seção não eximem a adjudicatária ou CONTRATADA da reparação dos eventuais danos, perdas ou prejuízos que seu ato punível venha causar à Administração.</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9.8 São exemplos de infração administrativa penalizáveis, nos termos da Lei nº 8.666, de 1993, da Lei nº 10.520, de 2002, do Decreto nº 3.555, de 2000, e do DECRETO nº 10.024 de 20 de setembro de 2019:</w:t>
      </w:r>
    </w:p>
    <w:p w:rsidR="005C7B77" w:rsidRPr="005C7B77" w:rsidRDefault="005C7B77" w:rsidP="005C6162">
      <w:pPr>
        <w:numPr>
          <w:ilvl w:val="0"/>
          <w:numId w:val="1"/>
        </w:numPr>
        <w:rPr>
          <w:rFonts w:ascii="Arial" w:hAnsi="Arial" w:cs="Arial"/>
          <w:color w:val="000000"/>
          <w:sz w:val="16"/>
          <w:szCs w:val="16"/>
        </w:rPr>
      </w:pPr>
      <w:r w:rsidRPr="005C7B77">
        <w:rPr>
          <w:rFonts w:ascii="Arial" w:hAnsi="Arial" w:cs="Arial"/>
          <w:color w:val="000000"/>
          <w:sz w:val="16"/>
          <w:szCs w:val="16"/>
        </w:rPr>
        <w:t>Inexecução total ou parcial do contrato;</w:t>
      </w:r>
    </w:p>
    <w:p w:rsidR="005C7B77" w:rsidRPr="005C7B77" w:rsidRDefault="005C7B77" w:rsidP="005C6162">
      <w:pPr>
        <w:numPr>
          <w:ilvl w:val="0"/>
          <w:numId w:val="1"/>
        </w:numPr>
        <w:rPr>
          <w:rFonts w:ascii="Arial" w:hAnsi="Arial" w:cs="Arial"/>
          <w:color w:val="000000"/>
          <w:sz w:val="16"/>
          <w:szCs w:val="16"/>
        </w:rPr>
      </w:pPr>
      <w:r w:rsidRPr="005C7B77">
        <w:rPr>
          <w:rFonts w:ascii="Arial" w:hAnsi="Arial" w:cs="Arial"/>
          <w:color w:val="000000"/>
          <w:sz w:val="16"/>
          <w:szCs w:val="16"/>
        </w:rPr>
        <w:t>Apresentação de documentação falsa;</w:t>
      </w:r>
    </w:p>
    <w:p w:rsidR="005C7B77" w:rsidRPr="005C7B77" w:rsidRDefault="005C7B77" w:rsidP="005C6162">
      <w:pPr>
        <w:numPr>
          <w:ilvl w:val="0"/>
          <w:numId w:val="1"/>
        </w:numPr>
        <w:rPr>
          <w:rFonts w:ascii="Arial" w:hAnsi="Arial" w:cs="Arial"/>
          <w:color w:val="000000"/>
          <w:sz w:val="16"/>
          <w:szCs w:val="16"/>
        </w:rPr>
      </w:pPr>
      <w:r w:rsidRPr="005C7B77">
        <w:rPr>
          <w:rFonts w:ascii="Arial" w:hAnsi="Arial" w:cs="Arial"/>
          <w:color w:val="000000"/>
          <w:sz w:val="16"/>
          <w:szCs w:val="16"/>
        </w:rPr>
        <w:t>Comportamento inidôneo;</w:t>
      </w:r>
    </w:p>
    <w:p w:rsidR="005C7B77" w:rsidRPr="005C7B77" w:rsidRDefault="005C7B77" w:rsidP="005C6162">
      <w:pPr>
        <w:numPr>
          <w:ilvl w:val="0"/>
          <w:numId w:val="1"/>
        </w:numPr>
        <w:rPr>
          <w:rFonts w:ascii="Arial" w:hAnsi="Arial" w:cs="Arial"/>
          <w:color w:val="000000"/>
          <w:sz w:val="16"/>
          <w:szCs w:val="16"/>
        </w:rPr>
      </w:pPr>
      <w:r w:rsidRPr="005C7B77">
        <w:rPr>
          <w:rFonts w:ascii="Arial" w:hAnsi="Arial" w:cs="Arial"/>
          <w:color w:val="000000"/>
          <w:sz w:val="16"/>
          <w:szCs w:val="16"/>
        </w:rPr>
        <w:t>Fraude fiscal;</w:t>
      </w:r>
    </w:p>
    <w:p w:rsidR="005C7B77" w:rsidRPr="005C7B77" w:rsidRDefault="005C7B77" w:rsidP="005C6162">
      <w:pPr>
        <w:numPr>
          <w:ilvl w:val="0"/>
          <w:numId w:val="1"/>
        </w:numPr>
        <w:rPr>
          <w:rFonts w:ascii="Arial" w:hAnsi="Arial" w:cs="Arial"/>
          <w:color w:val="000000"/>
          <w:sz w:val="16"/>
          <w:szCs w:val="16"/>
        </w:rPr>
      </w:pPr>
      <w:r w:rsidRPr="005C7B77">
        <w:rPr>
          <w:rFonts w:ascii="Arial" w:hAnsi="Arial" w:cs="Arial"/>
          <w:color w:val="000000"/>
          <w:sz w:val="16"/>
          <w:szCs w:val="16"/>
        </w:rPr>
        <w:t>Descumprimento de qualquer dos deveres elencados no Edital ou no Contrato.</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9.9 As sanções serão aplicadas sem prejuízo da responsabilidade civil e criminal que possa ser acionada em desfavor da CONTRATADA, conforme infração cometida e prejuízos causados à administração ou a terceiros.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8"/>
        <w:gridCol w:w="9087"/>
        <w:gridCol w:w="523"/>
        <w:gridCol w:w="875"/>
      </w:tblGrid>
      <w:tr w:rsidR="005C7B77" w:rsidRPr="005C7B77" w:rsidTr="005C7B77">
        <w:trPr>
          <w:tblCellSpacing w:w="15" w:type="dxa"/>
        </w:trPr>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ITEM</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DESCRIÇÃO DA INFRAÇÃO</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GRAU</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MULTA*</w:t>
            </w:r>
          </w:p>
        </w:tc>
      </w:tr>
      <w:tr w:rsidR="005C7B77" w:rsidRPr="005C7B77" w:rsidTr="005C7B77">
        <w:trPr>
          <w:tblCellSpacing w:w="15" w:type="dxa"/>
        </w:trPr>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Permitir situação que crie a possibilidade ou cause dano físico, lesão corporal ou consequências letais; por ocorrência.</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06</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4,0% por dia</w:t>
            </w:r>
          </w:p>
        </w:tc>
      </w:tr>
      <w:tr w:rsidR="005C7B77" w:rsidRPr="005C7B77" w:rsidTr="005C7B77">
        <w:trPr>
          <w:tblCellSpacing w:w="15" w:type="dxa"/>
        </w:trPr>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2</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Usar indevidamente informações sigilosas a que teve acesso; por ocorrencia.</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06</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4,0% por dia</w:t>
            </w:r>
          </w:p>
        </w:tc>
      </w:tr>
      <w:tr w:rsidR="005C7B77" w:rsidRPr="005C7B77" w:rsidTr="005C7B77">
        <w:trPr>
          <w:tblCellSpacing w:w="15" w:type="dxa"/>
        </w:trPr>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3</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Recusar-se a entregar os bens determinado pela FISCALIZAÇÃO, sem motivo justificado; por ocorrência;</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04</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1,6% por dia</w:t>
            </w:r>
          </w:p>
        </w:tc>
      </w:tr>
      <w:tr w:rsidR="005C7B77" w:rsidRPr="005C7B77" w:rsidTr="005C7B77">
        <w:trPr>
          <w:tblCellSpacing w:w="15" w:type="dxa"/>
        </w:trPr>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4</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Realizar entrega incompleta, paliativo substitutivo como por caráter permanente, ou deixar de providenciar recomposição complementar; por ocorrência.</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02</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0,4% por dia</w:t>
            </w:r>
          </w:p>
        </w:tc>
      </w:tr>
      <w:tr w:rsidR="005C7B77" w:rsidRPr="005C7B77" w:rsidTr="005C7B77">
        <w:trPr>
          <w:tblCellSpacing w:w="15" w:type="dxa"/>
        </w:trPr>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5</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Fornecer informação pérfida quanto ao objeto ou substituição de material; por ocorrência.</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02</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0,4% por dia</w:t>
            </w:r>
          </w:p>
        </w:tc>
      </w:tr>
      <w:tr w:rsidR="005C7B77" w:rsidRPr="005C7B77" w:rsidTr="005C7B77">
        <w:trPr>
          <w:tblCellSpacing w:w="15" w:type="dxa"/>
        </w:trPr>
        <w:tc>
          <w:tcPr>
            <w:tcW w:w="0" w:type="auto"/>
            <w:gridSpan w:val="4"/>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Para os itens a seguir, deixar de:</w:t>
            </w:r>
          </w:p>
        </w:tc>
      </w:tr>
      <w:tr w:rsidR="005C7B77" w:rsidRPr="005C7B77" w:rsidTr="005C7B77">
        <w:trPr>
          <w:tblCellSpacing w:w="15" w:type="dxa"/>
        </w:trPr>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6</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Efetuar reposição de equipamentos danificados, por motivo e por dia;</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04</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1,6% por dia</w:t>
            </w:r>
          </w:p>
        </w:tc>
      </w:tr>
      <w:tr w:rsidR="005C7B77" w:rsidRPr="005C7B77" w:rsidTr="005C7B77">
        <w:trPr>
          <w:tblCellSpacing w:w="15" w:type="dxa"/>
        </w:trPr>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7</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03</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0,8% por dia</w:t>
            </w:r>
          </w:p>
        </w:tc>
      </w:tr>
      <w:tr w:rsidR="005C7B77" w:rsidRPr="005C7B77" w:rsidTr="005C7B77">
        <w:trPr>
          <w:tblCellSpacing w:w="15" w:type="dxa"/>
        </w:trPr>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8</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Cumprir determinação formal ou instrução complementar da FISCALIZAÇÃO, por ocorrência;</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03</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0,8% por dia</w:t>
            </w:r>
          </w:p>
        </w:tc>
      </w:tr>
      <w:tr w:rsidR="005C7B77" w:rsidRPr="005C7B77" w:rsidTr="005C7B77">
        <w:trPr>
          <w:tblCellSpacing w:w="15" w:type="dxa"/>
        </w:trPr>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9</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Iniciar a entrega dos materiais permanentes nos prazos estabelecidos, observados os limites mínimos estabelecidos no Termo de Referência; por ocorrência.</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02</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0,4% por dia</w:t>
            </w:r>
          </w:p>
        </w:tc>
      </w:tr>
      <w:tr w:rsidR="005C7B77" w:rsidRPr="005C7B77" w:rsidTr="005C7B77">
        <w:trPr>
          <w:tblCellSpacing w:w="15" w:type="dxa"/>
        </w:trPr>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10</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Manter a documentação de habilitação atualizada; por item, por ocorrência.</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01</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0,2% por dia</w:t>
            </w:r>
          </w:p>
        </w:tc>
      </w:tr>
      <w:tr w:rsidR="005C7B77" w:rsidRPr="005C7B77" w:rsidTr="005C7B77">
        <w:trPr>
          <w:tblCellSpacing w:w="15" w:type="dxa"/>
        </w:trPr>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11</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Fornecer suporte técnico à Contratante, por ocorrência e por dia.</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01</w:t>
            </w:r>
          </w:p>
        </w:tc>
        <w:tc>
          <w:tcPr>
            <w:tcW w:w="0" w:type="auto"/>
            <w:vAlign w:val="center"/>
            <w:hideMark/>
          </w:tcPr>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0,2% por dia</w:t>
            </w:r>
          </w:p>
        </w:tc>
      </w:tr>
    </w:tbl>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9.11 As sanções aqui previstas poderão ser aplicadas concomitantemente, facultada a defesa prévia do interessado, no respectivo processo, no prazo de 05 (cinco) dias úteis.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9.12 Após 30 (trinta) dias da falta de execução do objeto, será considerada inexecução total do contrato, o que ensejará a rescisão contratual.</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9.13 As sanções de natureza pecuniária serão diretamente descontadas de créditos que eventualmente detenha a CONTRATADA ou efetuada a sua cobrança na forma prevista em lei.</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9.16 A sanção será obrigatoriamente registrada no Sistema de Cadastramento Unificado de Fornecedores – SICAF, bem como em sistemas Estaduais.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a) Tenham sofrido condenações definitivas por praticarem, por meio dolosos, fraude fiscal no recolhimento de tributos;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b) Tenham praticado atos ilícitos visando a frustrar os objetivos da licitação;</w:t>
      </w:r>
    </w:p>
    <w:p w:rsidR="005C7B77" w:rsidRDefault="005C7B77" w:rsidP="005C6162">
      <w:pPr>
        <w:rPr>
          <w:rFonts w:ascii="Arial" w:hAnsi="Arial" w:cs="Arial"/>
          <w:color w:val="000000"/>
          <w:sz w:val="16"/>
          <w:szCs w:val="16"/>
        </w:rPr>
      </w:pPr>
      <w:r w:rsidRPr="005C7B77">
        <w:rPr>
          <w:rFonts w:ascii="Arial" w:hAnsi="Arial" w:cs="Arial"/>
          <w:color w:val="000000"/>
          <w:sz w:val="16"/>
          <w:szCs w:val="16"/>
        </w:rPr>
        <w:t>c) Demonstrem não possuir idoneidade para contratar com a Administração em virtude de atos ilícitos praticados.</w:t>
      </w:r>
    </w:p>
    <w:p w:rsidR="005C6162" w:rsidRPr="005C7B77" w:rsidRDefault="005C6162" w:rsidP="005C6162">
      <w:pPr>
        <w:rPr>
          <w:rFonts w:ascii="Arial" w:hAnsi="Arial" w:cs="Arial"/>
          <w:color w:val="000000"/>
          <w:sz w:val="16"/>
          <w:szCs w:val="16"/>
        </w:rPr>
      </w:pPr>
    </w:p>
    <w:p w:rsidR="005C7B77" w:rsidRPr="005C7B77" w:rsidRDefault="005C7B77" w:rsidP="005C6162">
      <w:pPr>
        <w:rPr>
          <w:rFonts w:ascii="Arial" w:hAnsi="Arial" w:cs="Arial"/>
          <w:color w:val="000000"/>
          <w:sz w:val="16"/>
          <w:szCs w:val="16"/>
        </w:rPr>
      </w:pPr>
      <w:r w:rsidRPr="005C7B77">
        <w:rPr>
          <w:rFonts w:ascii="Arial" w:hAnsi="Arial" w:cs="Arial"/>
          <w:b/>
          <w:bCs/>
          <w:color w:val="000000"/>
          <w:sz w:val="16"/>
          <w:szCs w:val="16"/>
        </w:rPr>
        <w:t>10. DA UTILIZAÇÃO DA ATA </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10.2. É facultada aos órgãos sou entidades municipais, distritais ou estaduais a adesão a ata de registro de preços da Administração Pública Estadual.</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5C7B77" w:rsidRDefault="005C7B77" w:rsidP="005C6162">
      <w:pPr>
        <w:rPr>
          <w:rFonts w:ascii="Arial" w:hAnsi="Arial" w:cs="Arial"/>
          <w:color w:val="000000"/>
          <w:sz w:val="16"/>
          <w:szCs w:val="16"/>
        </w:rPr>
      </w:pPr>
      <w:r w:rsidRPr="005C7B77">
        <w:rPr>
          <w:rFonts w:ascii="Arial" w:hAnsi="Arial" w:cs="Arial"/>
          <w:color w:val="000000"/>
          <w:sz w:val="16"/>
          <w:szCs w:val="16"/>
        </w:rPr>
        <w:t>10.6. Caberá ao órgão que se utilizar da ata, verificar a vantagem econômica da adesão a este Registro de Preço.</w:t>
      </w:r>
    </w:p>
    <w:p w:rsidR="005C6162" w:rsidRPr="005C7B77" w:rsidRDefault="005C6162" w:rsidP="005C6162">
      <w:pPr>
        <w:rPr>
          <w:rFonts w:ascii="Arial" w:hAnsi="Arial" w:cs="Arial"/>
          <w:color w:val="000000"/>
          <w:sz w:val="16"/>
          <w:szCs w:val="16"/>
        </w:rPr>
      </w:pPr>
    </w:p>
    <w:p w:rsidR="005C7B77" w:rsidRPr="005C7B77" w:rsidRDefault="005C7B77" w:rsidP="005C6162">
      <w:pPr>
        <w:rPr>
          <w:rFonts w:ascii="Arial" w:hAnsi="Arial" w:cs="Arial"/>
          <w:color w:val="000000"/>
          <w:sz w:val="16"/>
          <w:szCs w:val="16"/>
        </w:rPr>
      </w:pPr>
      <w:r w:rsidRPr="005C7B77">
        <w:rPr>
          <w:rFonts w:ascii="Arial" w:hAnsi="Arial" w:cs="Arial"/>
          <w:b/>
          <w:bCs/>
          <w:color w:val="000000"/>
          <w:sz w:val="16"/>
          <w:szCs w:val="16"/>
        </w:rPr>
        <w:t>11. DA ALTERAÇÃO DA ATA DE REGISTRO DE PREÇOS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11.3. Os fornecedores que não aceitarem reduzir seus preços aos valores praticados pelo mercado serão liberados do compromisso assumido, sem aplicação de penalidade.</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11.4. A ordem de classificação dos fornecedores que aceitarem reduzir seus preços aos valores de mercado observará a classificação original.</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11.5. Quando o preço de mercado tornar-se superior aos preços registrados, e o fornecedor não puder cumprir o compromisso, o órgão gerenciador poderá:</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11.5.1. Liberar o fornecedor do compromisso assumido, caso a comunicação ocorra antes do pedido de fornecimento, sem aplicação de penalidade se confirmada a veracidade dos motivos e comprovantes;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11.5.2. Convocar os demais fornecedores para assegurar igual oportunidade de negociação;</w:t>
      </w:r>
    </w:p>
    <w:p w:rsidR="005C7B77" w:rsidRDefault="005C7B77" w:rsidP="005C6162">
      <w:pPr>
        <w:rPr>
          <w:rFonts w:ascii="Arial" w:hAnsi="Arial" w:cs="Arial"/>
          <w:color w:val="000000"/>
          <w:sz w:val="16"/>
          <w:szCs w:val="16"/>
        </w:rPr>
      </w:pPr>
      <w:r w:rsidRPr="005C7B77">
        <w:rPr>
          <w:rFonts w:ascii="Arial" w:hAnsi="Arial" w:cs="Arial"/>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5C6162" w:rsidRPr="005C7B77" w:rsidRDefault="005C6162" w:rsidP="005C6162">
      <w:pPr>
        <w:rPr>
          <w:rFonts w:ascii="Arial" w:hAnsi="Arial" w:cs="Arial"/>
          <w:color w:val="000000"/>
          <w:sz w:val="16"/>
          <w:szCs w:val="16"/>
        </w:rPr>
      </w:pPr>
    </w:p>
    <w:p w:rsidR="005C7B77" w:rsidRPr="005C7B77" w:rsidRDefault="005C7B77" w:rsidP="005C6162">
      <w:pPr>
        <w:rPr>
          <w:rFonts w:ascii="Arial" w:hAnsi="Arial" w:cs="Arial"/>
          <w:color w:val="000000"/>
          <w:sz w:val="16"/>
          <w:szCs w:val="16"/>
        </w:rPr>
      </w:pPr>
      <w:r w:rsidRPr="005C7B77">
        <w:rPr>
          <w:rFonts w:ascii="Arial" w:hAnsi="Arial" w:cs="Arial"/>
          <w:b/>
          <w:bCs/>
          <w:color w:val="000000"/>
          <w:sz w:val="16"/>
          <w:szCs w:val="16"/>
        </w:rPr>
        <w:t>12. DAS OBRIGAÇÕES DA DETENTORA DO REGISTRO</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12.1. Substituir em qualquer tempo e sem qualquer Ônus para o Órgão/Entidade toda ou parte da remessa devolvida pela mesma, no prazo de 05 (cinco) dias úteis, caso constatada divergência na especificação;</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12.2. Dispor-se a toda e qualquer fiscalização, no tocante ao fornecimento do produto, assim como ao cumprimento das obrigações previstas na ATA;</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12.3.  Prover todos os meios necessários à garantia da plena operacionalidade do fornecimento, inclusive considerados os casos de greve ou paralisação de qualquer natureza;</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12.5. Comunicar imediatamente à Administração Pública qualquer alteração ocorrida no endereço, conta bancária e outros julgáveis necessários para recebimento de correspondência;</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12.6. Respeitar e fazer cumprir a legislação de segurança e saúde no trabalho, previstas nas normas regulamentadoras pertinentes;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5C7B77" w:rsidRDefault="005C7B77" w:rsidP="005C6162">
      <w:pPr>
        <w:rPr>
          <w:rFonts w:ascii="Arial" w:hAnsi="Arial" w:cs="Arial"/>
          <w:color w:val="000000"/>
          <w:sz w:val="16"/>
          <w:szCs w:val="16"/>
        </w:rPr>
      </w:pPr>
      <w:r w:rsidRPr="005C7B77">
        <w:rPr>
          <w:rFonts w:ascii="Arial" w:hAnsi="Arial" w:cs="Arial"/>
          <w:color w:val="000000"/>
          <w:sz w:val="16"/>
          <w:szCs w:val="16"/>
        </w:rPr>
        <w:t>12.10. Todos os impostos e taxas que forem devidos em decorrência das contratações do objeto do Edital correrão por conta exclusiva da contratada;</w:t>
      </w:r>
    </w:p>
    <w:p w:rsidR="005C6162" w:rsidRPr="005C7B77" w:rsidRDefault="005C6162" w:rsidP="005C6162">
      <w:pPr>
        <w:rPr>
          <w:rFonts w:ascii="Arial" w:hAnsi="Arial" w:cs="Arial"/>
          <w:color w:val="000000"/>
          <w:sz w:val="16"/>
          <w:szCs w:val="16"/>
        </w:rPr>
      </w:pPr>
    </w:p>
    <w:p w:rsidR="005C7B77" w:rsidRPr="005C7B77" w:rsidRDefault="005C7B77" w:rsidP="005C6162">
      <w:pPr>
        <w:rPr>
          <w:rFonts w:ascii="Arial" w:hAnsi="Arial" w:cs="Arial"/>
          <w:color w:val="000000"/>
          <w:sz w:val="16"/>
          <w:szCs w:val="16"/>
        </w:rPr>
      </w:pPr>
      <w:r w:rsidRPr="005C7B77">
        <w:rPr>
          <w:rFonts w:ascii="Arial" w:hAnsi="Arial" w:cs="Arial"/>
          <w:b/>
          <w:bCs/>
          <w:color w:val="000000"/>
          <w:sz w:val="16"/>
          <w:szCs w:val="16"/>
        </w:rPr>
        <w:t>13. DAS OBRIGAÇÕES DOS ÓRGÃOS REQUISITANTES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13.1. Proporcionar todas as facilidades indispensáveis à boa execução das obrigações contratuais; </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13.2. Rejeitar, no todo ou em parte, os objetos desta Ata entregues em desacordo com as obrigações assumidas pelo fornecedor;</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13.3. Notificar a CONTRATADA de qualquer irregularidade encontrada no fornecimento dos objetos desta Ata;</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13.4. Efetuar o pagamento à(s) contratada(s) de acordo com as condições de preços e prazos estabelecidos no edital e ata de registro de preços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5C7B77" w:rsidRDefault="005C7B77" w:rsidP="005C6162">
      <w:pPr>
        <w:rPr>
          <w:rFonts w:ascii="Arial" w:hAnsi="Arial" w:cs="Arial"/>
          <w:color w:val="000000"/>
          <w:sz w:val="16"/>
          <w:szCs w:val="16"/>
        </w:rPr>
      </w:pPr>
      <w:r w:rsidRPr="005C7B77">
        <w:rPr>
          <w:rFonts w:ascii="Arial" w:hAnsi="Arial" w:cs="Arial"/>
          <w:color w:val="000000"/>
          <w:sz w:val="16"/>
          <w:szCs w:val="16"/>
        </w:rPr>
        <w:t>13.6. Não haverá sob-hipótese alguma, pagamento antecipado.</w:t>
      </w:r>
    </w:p>
    <w:p w:rsidR="000A7083" w:rsidRPr="005C7B77" w:rsidRDefault="000A7083" w:rsidP="005C6162">
      <w:pPr>
        <w:rPr>
          <w:rFonts w:ascii="Arial" w:hAnsi="Arial" w:cs="Arial"/>
          <w:color w:val="000000"/>
          <w:sz w:val="16"/>
          <w:szCs w:val="16"/>
        </w:rPr>
      </w:pPr>
      <w:bookmarkStart w:id="1" w:name="_GoBack"/>
      <w:bookmarkEnd w:id="1"/>
    </w:p>
    <w:p w:rsidR="005C7B77" w:rsidRPr="005C7B77" w:rsidRDefault="005C7B77" w:rsidP="005C6162">
      <w:pPr>
        <w:rPr>
          <w:rFonts w:ascii="Arial" w:hAnsi="Arial" w:cs="Arial"/>
          <w:color w:val="000000"/>
          <w:sz w:val="16"/>
          <w:szCs w:val="16"/>
        </w:rPr>
      </w:pPr>
      <w:r w:rsidRPr="005C7B77">
        <w:rPr>
          <w:rFonts w:ascii="Arial" w:hAnsi="Arial" w:cs="Arial"/>
          <w:b/>
          <w:bCs/>
          <w:color w:val="000000"/>
          <w:sz w:val="16"/>
          <w:szCs w:val="16"/>
        </w:rPr>
        <w:t>14. DOS ÓRGÃOS PARTICIPANTES: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14.1. É participante desta ata o seguinte órgão pertencente à Administração Pública do Estado de Rondônia:</w:t>
      </w:r>
    </w:p>
    <w:p w:rsidR="005C7B77" w:rsidRDefault="005C7B77" w:rsidP="005C6162">
      <w:pPr>
        <w:rPr>
          <w:rFonts w:ascii="Arial" w:hAnsi="Arial" w:cs="Arial"/>
          <w:color w:val="000000"/>
          <w:sz w:val="16"/>
          <w:szCs w:val="16"/>
        </w:rPr>
      </w:pPr>
      <w:r w:rsidRPr="005C7B77">
        <w:rPr>
          <w:rFonts w:ascii="Arial" w:hAnsi="Arial" w:cs="Arial"/>
          <w:color w:val="000000"/>
          <w:sz w:val="16"/>
          <w:szCs w:val="16"/>
        </w:rPr>
        <w:t>SESAU - Secretaria de Estado da Saúde de Rondônia </w:t>
      </w:r>
    </w:p>
    <w:p w:rsidR="005C6162" w:rsidRPr="005C7B77" w:rsidRDefault="005C6162" w:rsidP="005C6162">
      <w:pPr>
        <w:rPr>
          <w:rFonts w:ascii="Arial" w:hAnsi="Arial" w:cs="Arial"/>
          <w:color w:val="000000"/>
          <w:sz w:val="16"/>
          <w:szCs w:val="16"/>
        </w:rPr>
      </w:pPr>
    </w:p>
    <w:p w:rsidR="005C7B77" w:rsidRPr="005C7B77" w:rsidRDefault="005C7B77" w:rsidP="005C6162">
      <w:pPr>
        <w:rPr>
          <w:rFonts w:ascii="Arial" w:hAnsi="Arial" w:cs="Arial"/>
          <w:color w:val="000000"/>
          <w:sz w:val="16"/>
          <w:szCs w:val="16"/>
        </w:rPr>
      </w:pPr>
      <w:r w:rsidRPr="005C7B77">
        <w:rPr>
          <w:rFonts w:ascii="Arial" w:hAnsi="Arial" w:cs="Arial"/>
          <w:b/>
          <w:bCs/>
          <w:color w:val="000000"/>
          <w:sz w:val="16"/>
          <w:szCs w:val="16"/>
        </w:rPr>
        <w:t>15.  DISPOSIÇÕES GERAIS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15.2. Fica a Detentora ciente que a publicidade da ata de registro de preços na imprensa oficial terá efeito de compromisso nas condições ofertadas e pactuadas na proposta apresentada à licitação. </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15.4. Fazem parte integrante desta Ata, para todos os efeitos legais: o Edital de Licitação e seus anexos, bem como, o ANEXO ÚNICO desta ata que contém os preços registrados e respectivos detentores.</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 </w:t>
      </w:r>
    </w:p>
    <w:p w:rsidR="005C7B77" w:rsidRPr="005C7B77" w:rsidRDefault="005C7B77" w:rsidP="005C6162">
      <w:pPr>
        <w:rPr>
          <w:rFonts w:ascii="Arial" w:hAnsi="Arial" w:cs="Arial"/>
          <w:color w:val="000000"/>
          <w:sz w:val="16"/>
          <w:szCs w:val="16"/>
        </w:rPr>
      </w:pPr>
      <w:r w:rsidRPr="005C7B77">
        <w:rPr>
          <w:rFonts w:ascii="Arial" w:hAnsi="Arial" w:cs="Arial"/>
          <w:color w:val="000000"/>
          <w:sz w:val="16"/>
          <w:szCs w:val="16"/>
        </w:rPr>
        <w:t>        Fica eleito o foro do Município de Porto Velho/RO para dirimir as eventuais controvérsias decorrentes do presente ajuste</w:t>
      </w:r>
    </w:p>
    <w:p w:rsidR="00A2027B" w:rsidRPr="005C7B77" w:rsidRDefault="002A17DB">
      <w:pPr>
        <w:jc w:val="both"/>
        <w:rPr>
          <w:rFonts w:ascii="Arial" w:eastAsia="Arial" w:hAnsi="Arial" w:cs="Arial"/>
          <w:color w:val="000000"/>
          <w:sz w:val="16"/>
          <w:szCs w:val="16"/>
        </w:rPr>
      </w:pPr>
      <w:r w:rsidRPr="005C7B77">
        <w:rPr>
          <w:rFonts w:ascii="Arial" w:eastAsia="Arial" w:hAnsi="Arial" w:cs="Arial"/>
          <w:color w:val="000000"/>
          <w:sz w:val="16"/>
          <w:szCs w:val="16"/>
        </w:rPr>
        <w:t>.</w:t>
      </w:r>
    </w:p>
    <w:p w:rsidR="00E43534" w:rsidRPr="005C7B77" w:rsidRDefault="00E43534">
      <w:pPr>
        <w:ind w:right="47"/>
        <w:jc w:val="both"/>
        <w:rPr>
          <w:rFonts w:ascii="Arial" w:eastAsia="Arial" w:hAnsi="Arial" w:cs="Arial"/>
          <w:b/>
          <w:color w:val="000000"/>
          <w:sz w:val="16"/>
          <w:szCs w:val="16"/>
        </w:rPr>
      </w:pPr>
    </w:p>
    <w:p w:rsidR="00A2027B" w:rsidRPr="005C7B77" w:rsidRDefault="002A17DB">
      <w:pPr>
        <w:ind w:right="47"/>
        <w:jc w:val="both"/>
        <w:rPr>
          <w:rFonts w:ascii="Arial" w:eastAsia="Arial" w:hAnsi="Arial" w:cs="Arial"/>
          <w:b/>
          <w:color w:val="000000"/>
          <w:sz w:val="16"/>
          <w:szCs w:val="16"/>
        </w:rPr>
      </w:pPr>
      <w:r w:rsidRPr="005C7B77">
        <w:rPr>
          <w:rFonts w:ascii="Arial" w:eastAsia="Arial" w:hAnsi="Arial" w:cs="Arial"/>
          <w:b/>
          <w:color w:val="000000"/>
          <w:sz w:val="16"/>
          <w:szCs w:val="16"/>
        </w:rPr>
        <w:t>ÓRGÃO GERENCIADOR:</w:t>
      </w:r>
    </w:p>
    <w:p w:rsidR="00A2027B" w:rsidRPr="005C7B77" w:rsidRDefault="00A2027B">
      <w:pPr>
        <w:ind w:right="47"/>
        <w:rPr>
          <w:rFonts w:ascii="Arial" w:eastAsia="Arial" w:hAnsi="Arial" w:cs="Arial"/>
          <w:b/>
          <w:color w:val="000000"/>
          <w:sz w:val="16"/>
          <w:szCs w:val="16"/>
        </w:rPr>
      </w:pPr>
    </w:p>
    <w:p w:rsidR="00A2027B" w:rsidRPr="005C7B77" w:rsidRDefault="002A17DB">
      <w:pPr>
        <w:ind w:right="47"/>
        <w:rPr>
          <w:rFonts w:ascii="Arial" w:eastAsia="Arial" w:hAnsi="Arial" w:cs="Arial"/>
          <w:b/>
          <w:color w:val="000000"/>
          <w:sz w:val="16"/>
          <w:szCs w:val="16"/>
        </w:rPr>
      </w:pPr>
      <w:r w:rsidRPr="005C7B77">
        <w:rPr>
          <w:rFonts w:ascii="Arial" w:eastAsia="Arial" w:hAnsi="Arial" w:cs="Arial"/>
          <w:b/>
          <w:color w:val="000000"/>
          <w:sz w:val="16"/>
          <w:szCs w:val="16"/>
        </w:rPr>
        <w:t>MÁRCIO ROGÉRIO GABRIEL</w:t>
      </w:r>
      <w:r w:rsidRPr="005C7B77">
        <w:rPr>
          <w:rFonts w:ascii="Arial" w:eastAsia="Arial" w:hAnsi="Arial" w:cs="Arial"/>
          <w:b/>
          <w:color w:val="000000"/>
          <w:sz w:val="16"/>
          <w:szCs w:val="16"/>
        </w:rPr>
        <w:tab/>
      </w:r>
      <w:r w:rsidRPr="005C7B77">
        <w:rPr>
          <w:rFonts w:ascii="Arial" w:eastAsia="Arial" w:hAnsi="Arial" w:cs="Arial"/>
          <w:b/>
          <w:color w:val="000000"/>
          <w:sz w:val="16"/>
          <w:szCs w:val="16"/>
        </w:rPr>
        <w:tab/>
        <w:t>MARCIA CARVALHO GUEDES</w:t>
      </w:r>
    </w:p>
    <w:p w:rsidR="00A2027B" w:rsidRPr="005C7B77" w:rsidRDefault="002A17DB">
      <w:pPr>
        <w:ind w:right="47"/>
        <w:rPr>
          <w:rFonts w:ascii="Arial" w:eastAsia="Arial" w:hAnsi="Arial" w:cs="Arial"/>
          <w:color w:val="000000"/>
          <w:sz w:val="16"/>
          <w:szCs w:val="16"/>
        </w:rPr>
      </w:pPr>
      <w:r w:rsidRPr="005C7B77">
        <w:rPr>
          <w:rFonts w:ascii="Arial" w:eastAsia="Arial" w:hAnsi="Arial" w:cs="Arial"/>
          <w:color w:val="000000"/>
          <w:sz w:val="16"/>
          <w:szCs w:val="16"/>
        </w:rPr>
        <w:t>Superintendente Estadual de Licitações</w:t>
      </w:r>
      <w:r w:rsidRPr="005C7B77">
        <w:rPr>
          <w:rFonts w:ascii="Arial" w:eastAsia="Arial" w:hAnsi="Arial" w:cs="Arial"/>
          <w:color w:val="000000"/>
          <w:sz w:val="16"/>
          <w:szCs w:val="16"/>
        </w:rPr>
        <w:tab/>
      </w:r>
      <w:r w:rsidRPr="005C7B77">
        <w:rPr>
          <w:rFonts w:ascii="Arial" w:eastAsia="Arial" w:hAnsi="Arial" w:cs="Arial"/>
          <w:color w:val="000000"/>
          <w:sz w:val="16"/>
          <w:szCs w:val="16"/>
        </w:rPr>
        <w:tab/>
        <w:t>Coordenadora de Sistema de Registro de Preços</w:t>
      </w:r>
    </w:p>
    <w:p w:rsidR="00A2027B" w:rsidRPr="005C7B77" w:rsidRDefault="00A2027B">
      <w:pPr>
        <w:ind w:right="47"/>
        <w:rPr>
          <w:rFonts w:ascii="Arial" w:eastAsia="Arial" w:hAnsi="Arial" w:cs="Arial"/>
          <w:color w:val="000000"/>
          <w:sz w:val="16"/>
          <w:szCs w:val="16"/>
        </w:rPr>
      </w:pPr>
    </w:p>
    <w:p w:rsidR="00A2027B" w:rsidRPr="005C7B77" w:rsidRDefault="002A17DB">
      <w:pPr>
        <w:ind w:right="47"/>
        <w:jc w:val="both"/>
        <w:rPr>
          <w:rFonts w:ascii="Arial" w:eastAsia="Arial" w:hAnsi="Arial" w:cs="Arial"/>
          <w:b/>
          <w:color w:val="000000"/>
          <w:sz w:val="16"/>
          <w:szCs w:val="16"/>
        </w:rPr>
      </w:pPr>
      <w:r w:rsidRPr="005C7B77">
        <w:rPr>
          <w:rFonts w:ascii="Arial" w:eastAsia="Arial" w:hAnsi="Arial" w:cs="Arial"/>
          <w:b/>
          <w:color w:val="000000"/>
          <w:sz w:val="16"/>
          <w:szCs w:val="16"/>
        </w:rPr>
        <w:t>EMPRESA(S) DETENTORA(S):</w:t>
      </w:r>
    </w:p>
    <w:p w:rsidR="00A2027B" w:rsidRPr="005C7B77" w:rsidRDefault="002A17DB">
      <w:pPr>
        <w:ind w:right="47"/>
        <w:jc w:val="both"/>
        <w:rPr>
          <w:rFonts w:ascii="Arial" w:eastAsia="Arial" w:hAnsi="Arial" w:cs="Arial"/>
          <w:b/>
          <w:color w:val="000000"/>
          <w:sz w:val="16"/>
          <w:szCs w:val="16"/>
        </w:rPr>
      </w:pPr>
      <w:r w:rsidRPr="005C7B77">
        <w:rPr>
          <w:rFonts w:ascii="Arial" w:eastAsia="Arial" w:hAnsi="Arial" w:cs="Arial"/>
          <w:b/>
          <w:color w:val="000000"/>
          <w:sz w:val="16"/>
          <w:szCs w:val="16"/>
        </w:rPr>
        <w:t>Qualificada(s) no Anexo Único desta Ata</w:t>
      </w:r>
    </w:p>
    <w:p w:rsidR="00A2027B" w:rsidRPr="005C7B77" w:rsidRDefault="00A2027B">
      <w:pPr>
        <w:ind w:right="47"/>
        <w:jc w:val="both"/>
        <w:rPr>
          <w:rFonts w:ascii="Arial" w:eastAsia="Arial" w:hAnsi="Arial" w:cs="Arial"/>
          <w:b/>
          <w:color w:val="000000"/>
          <w:sz w:val="16"/>
          <w:szCs w:val="16"/>
        </w:rPr>
      </w:pPr>
    </w:p>
    <w:p w:rsidR="00A2027B" w:rsidRPr="005C7B77" w:rsidRDefault="005C6162">
      <w:pPr>
        <w:ind w:right="47"/>
        <w:jc w:val="both"/>
        <w:rPr>
          <w:rFonts w:ascii="Arial" w:eastAsia="Arial" w:hAnsi="Arial" w:cs="Arial"/>
          <w:b/>
          <w:color w:val="000000"/>
          <w:sz w:val="16"/>
          <w:szCs w:val="16"/>
        </w:rPr>
      </w:pPr>
      <w:r>
        <w:rPr>
          <w:rFonts w:ascii="Arial" w:eastAsia="Arial" w:hAnsi="Arial" w:cs="Arial"/>
          <w:b/>
          <w:color w:val="000000"/>
          <w:sz w:val="16"/>
          <w:szCs w:val="16"/>
        </w:rPr>
        <w:t>ST</w:t>
      </w:r>
      <w:r w:rsidR="002A17DB" w:rsidRPr="005C7B77">
        <w:rPr>
          <w:rFonts w:ascii="Arial" w:eastAsia="Arial" w:hAnsi="Arial" w:cs="Arial"/>
          <w:b/>
          <w:color w:val="000000"/>
          <w:sz w:val="16"/>
          <w:szCs w:val="16"/>
        </w:rPr>
        <w:t>/SRP</w:t>
      </w:r>
    </w:p>
    <w:sectPr w:rsidR="00A2027B" w:rsidRPr="005C7B77" w:rsidSect="00A2027B">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18D" w:rsidRDefault="006A218D" w:rsidP="00A2027B">
      <w:r>
        <w:separator/>
      </w:r>
    </w:p>
  </w:endnote>
  <w:endnote w:type="continuationSeparator" w:id="0">
    <w:p w:rsidR="006A218D" w:rsidRDefault="006A218D" w:rsidP="00A20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18D" w:rsidRDefault="006A218D" w:rsidP="00A2027B">
      <w:r>
        <w:separator/>
      </w:r>
    </w:p>
  </w:footnote>
  <w:footnote w:type="continuationSeparator" w:id="0">
    <w:p w:rsidR="006A218D" w:rsidRDefault="006A218D" w:rsidP="00A202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27B" w:rsidRDefault="00A2027B">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3B35B7"/>
    <w:multiLevelType w:val="multilevel"/>
    <w:tmpl w:val="D4682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27B"/>
    <w:rsid w:val="00007B28"/>
    <w:rsid w:val="000A7083"/>
    <w:rsid w:val="00115847"/>
    <w:rsid w:val="00233E83"/>
    <w:rsid w:val="002376DE"/>
    <w:rsid w:val="002A17DB"/>
    <w:rsid w:val="00435507"/>
    <w:rsid w:val="005C6162"/>
    <w:rsid w:val="005C7B77"/>
    <w:rsid w:val="006A218D"/>
    <w:rsid w:val="006B0803"/>
    <w:rsid w:val="00753DE0"/>
    <w:rsid w:val="00793FCF"/>
    <w:rsid w:val="008A0101"/>
    <w:rsid w:val="008D36BC"/>
    <w:rsid w:val="008F3A1D"/>
    <w:rsid w:val="00904CEC"/>
    <w:rsid w:val="00A2027B"/>
    <w:rsid w:val="00D91030"/>
    <w:rsid w:val="00E43534"/>
    <w:rsid w:val="00EF00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F580C4-C7D1-40DF-B3A7-95D8525D2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1"/>
    <w:next w:val="Normal1"/>
    <w:rsid w:val="00A2027B"/>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A2027B"/>
  </w:style>
  <w:style w:type="table" w:customStyle="1" w:styleId="TableNormal">
    <w:name w:val="Table Normal"/>
    <w:rsid w:val="00A2027B"/>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centralizado">
    <w:name w:val="texto_centralizado"/>
    <w:basedOn w:val="Normal"/>
    <w:rsid w:val="007043C8"/>
    <w:pPr>
      <w:spacing w:before="100" w:beforeAutospacing="1" w:after="100" w:afterAutospacing="1"/>
    </w:pPr>
    <w:rPr>
      <w:sz w:val="24"/>
      <w:szCs w:val="24"/>
    </w:rPr>
  </w:style>
  <w:style w:type="paragraph" w:styleId="Subttulo">
    <w:name w:val="Subtitle"/>
    <w:basedOn w:val="Normal"/>
    <w:next w:val="Normal"/>
    <w:rsid w:val="00A2027B"/>
    <w:pPr>
      <w:keepNext/>
      <w:keepLines/>
      <w:spacing w:before="360" w:after="80"/>
    </w:pPr>
    <w:rPr>
      <w:rFonts w:ascii="Georgia" w:eastAsia="Georgia" w:hAnsi="Georgia" w:cs="Georgia"/>
      <w:i/>
      <w:color w:val="666666"/>
      <w:sz w:val="48"/>
      <w:szCs w:val="48"/>
    </w:rPr>
  </w:style>
  <w:style w:type="paragraph" w:customStyle="1" w:styleId="itemincisoromano">
    <w:name w:val="item_inciso_romano"/>
    <w:basedOn w:val="Normal"/>
    <w:rsid w:val="008A0101"/>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6B0803"/>
    <w:pPr>
      <w:spacing w:before="100" w:beforeAutospacing="1" w:after="100" w:afterAutospacing="1"/>
    </w:pPr>
    <w:rPr>
      <w:sz w:val="24"/>
      <w:szCs w:val="24"/>
    </w:rPr>
  </w:style>
  <w:style w:type="paragraph" w:customStyle="1" w:styleId="citacao">
    <w:name w:val="citacao"/>
    <w:basedOn w:val="Normal"/>
    <w:rsid w:val="006B080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318238">
      <w:bodyDiv w:val="1"/>
      <w:marLeft w:val="0"/>
      <w:marRight w:val="0"/>
      <w:marTop w:val="0"/>
      <w:marBottom w:val="0"/>
      <w:divBdr>
        <w:top w:val="none" w:sz="0" w:space="0" w:color="auto"/>
        <w:left w:val="none" w:sz="0" w:space="0" w:color="auto"/>
        <w:bottom w:val="none" w:sz="0" w:space="0" w:color="auto"/>
        <w:right w:val="none" w:sz="0" w:space="0" w:color="auto"/>
      </w:divBdr>
    </w:div>
    <w:div w:id="619798616">
      <w:bodyDiv w:val="1"/>
      <w:marLeft w:val="0"/>
      <w:marRight w:val="0"/>
      <w:marTop w:val="0"/>
      <w:marBottom w:val="0"/>
      <w:divBdr>
        <w:top w:val="none" w:sz="0" w:space="0" w:color="auto"/>
        <w:left w:val="none" w:sz="0" w:space="0" w:color="auto"/>
        <w:bottom w:val="none" w:sz="0" w:space="0" w:color="auto"/>
        <w:right w:val="none" w:sz="0" w:space="0" w:color="auto"/>
      </w:divBdr>
    </w:div>
    <w:div w:id="1330786426">
      <w:bodyDiv w:val="1"/>
      <w:marLeft w:val="0"/>
      <w:marRight w:val="0"/>
      <w:marTop w:val="0"/>
      <w:marBottom w:val="0"/>
      <w:divBdr>
        <w:top w:val="none" w:sz="0" w:space="0" w:color="auto"/>
        <w:left w:val="none" w:sz="0" w:space="0" w:color="auto"/>
        <w:bottom w:val="none" w:sz="0" w:space="0" w:color="auto"/>
        <w:right w:val="none" w:sz="0" w:space="0" w:color="auto"/>
      </w:divBdr>
    </w:div>
    <w:div w:id="1877696183">
      <w:bodyDiv w:val="1"/>
      <w:marLeft w:val="0"/>
      <w:marRight w:val="0"/>
      <w:marTop w:val="0"/>
      <w:marBottom w:val="0"/>
      <w:divBdr>
        <w:top w:val="none" w:sz="0" w:space="0" w:color="auto"/>
        <w:left w:val="none" w:sz="0" w:space="0" w:color="auto"/>
        <w:bottom w:val="none" w:sz="0" w:space="0" w:color="auto"/>
        <w:right w:val="none" w:sz="0" w:space="0" w:color="auto"/>
      </w:divBdr>
    </w:div>
    <w:div w:id="20908103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rUmxUBEU30IHwGkQcN3fp8/E5g==">AMUW2mWjSVdrdwyy82mn2CGsifkZ0V5kfnNMhElc1yPHd/mvr2uyd6HCSzVnWlotTRhiJ8eN5PI9GeROiIdA8XX3msut2zY4CAjfAtq4jnMyi0vgpWY0dXtmA76ypUA0YTT0krs0LlIiWxwIaRdT8FNtnYRB53WGPA==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3142</Words>
  <Characters>16967</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5</cp:revision>
  <dcterms:created xsi:type="dcterms:W3CDTF">2020-12-11T16:15:00Z</dcterms:created>
  <dcterms:modified xsi:type="dcterms:W3CDTF">2020-12-11T16:30:00Z</dcterms:modified>
</cp:coreProperties>
</file>