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324/2020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123/2020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0025.018209/2020-01</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de equipamentos agrícolas e agroindustriais (secadores de cafés e outros), a pedido da </w:t>
      </w:r>
      <w:r w:rsidDel="00000000" w:rsidR="00000000" w:rsidRPr="00000000">
        <w:rPr>
          <w:rFonts w:ascii="Arial" w:cs="Arial" w:eastAsia="Arial" w:hAnsi="Arial"/>
          <w:b w:val="1"/>
          <w:sz w:val="16"/>
          <w:szCs w:val="16"/>
          <w:rtl w:val="0"/>
        </w:rPr>
        <w:t xml:space="preserve">Secretaria de Estado da Agricultura – SEAGRI.</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equipamentos agrícolas e agroindustriais (secadores de cafés e outros), a pedido da </w:t>
      </w:r>
      <w:r w:rsidDel="00000000" w:rsidR="00000000" w:rsidRPr="00000000">
        <w:rPr>
          <w:rFonts w:ascii="Arial" w:cs="Arial" w:eastAsia="Arial" w:hAnsi="Arial"/>
          <w:b w:val="1"/>
          <w:sz w:val="16"/>
          <w:szCs w:val="16"/>
          <w:rtl w:val="0"/>
        </w:rPr>
        <w:t xml:space="preserve">Secretaria de Estado da Agricultura – SEAGRI.</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 Dar-se-á o prazo de 60 (</w:t>
      </w:r>
      <w:r w:rsidDel="00000000" w:rsidR="00000000" w:rsidRPr="00000000">
        <w:rPr>
          <w:rFonts w:ascii="Arial" w:cs="Arial" w:eastAsia="Arial" w:hAnsi="Arial"/>
          <w:b w:val="1"/>
          <w:sz w:val="16"/>
          <w:szCs w:val="16"/>
          <w:u w:val="single"/>
          <w:rtl w:val="0"/>
        </w:rPr>
        <w:t xml:space="preserve">SESSENTA DIAS CORRIDOS</w:t>
      </w:r>
      <w:r w:rsidDel="00000000" w:rsidR="00000000" w:rsidRPr="00000000">
        <w:rPr>
          <w:rFonts w:ascii="Arial" w:cs="Arial" w:eastAsia="Arial" w:hAnsi="Arial"/>
          <w:b w:val="1"/>
          <w:sz w:val="16"/>
          <w:szCs w:val="16"/>
          <w:rtl w:val="0"/>
        </w:rPr>
        <w:t xml:space="preserve">) após a entrega da Autorização de Fornecimento ao detentor da Ata de Registro de Preços, de acordo com o princípio da razoabilidade e proporcionalidade, podendo ser prorrogado por mais 30 (trinta) dias por acordo pelas partes.</w:t>
      </w:r>
      <w:r w:rsidDel="00000000" w:rsidR="00000000" w:rsidRPr="00000000">
        <w:rPr>
          <w:rtl w:val="0"/>
        </w:rPr>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CONFORME ITEM 17 DO TR.</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serão não eximem a adjudicatária ou contratada da reparação dos eventuais danos, perdas ou prejuízos que seu ato punível venha causar a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 8.666, de 1993, da Lei n° 10.520, de 2002, do Decreto Estadual n° 12.205/06 e do Decreto Estadual n° 12.234/06:</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as infrações são atribuídas graus, com percentuais de multa conforme a tabela a seguir, que elenca apenas as principais situações previstas, não eximindo de outras equivalentes que surgirem, conforme o caso: </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545"/>
        <w:gridCol w:w="1055"/>
        <w:gridCol w:w="1175"/>
        <w:tblGridChange w:id="0">
          <w:tblGrid>
            <w:gridCol w:w="980"/>
            <w:gridCol w:w="6545"/>
            <w:gridCol w:w="1055"/>
            <w:gridCol w:w="1175"/>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equipamentos,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equipamentos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equipamentos,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equipamentos;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equipamentos;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equipamentos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previa do interessado, no respectivo processo, no prazo de 05 (cinco) dias úteis.</w:t>
      </w:r>
    </w:p>
    <w:p w:rsidR="00000000" w:rsidDel="00000000" w:rsidP="00000000" w:rsidRDefault="00000000" w:rsidRPr="00000000" w14:paraId="0000007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ensejara a rescisão contratual.</w:t>
      </w:r>
    </w:p>
    <w:p w:rsidR="00000000" w:rsidDel="00000000" w:rsidP="00000000" w:rsidRDefault="00000000" w:rsidRPr="00000000" w14:paraId="0000007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considerarão a gravidade da conduta do infrator, o caráter educativo da pena, bem como o dano causado a Administração, observado o princípio da proporcionalidade.</w:t>
      </w:r>
    </w:p>
    <w:p w:rsidR="00000000" w:rsidDel="00000000" w:rsidP="00000000" w:rsidRDefault="00000000" w:rsidRPr="00000000" w14:paraId="0000007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7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7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SEAGRI</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Secretaria de Estado da Agricultura.</w:t>
      </w:r>
      <w:r w:rsidDel="00000000" w:rsidR="00000000" w:rsidRPr="00000000">
        <w:rPr>
          <w:rtl w:val="0"/>
        </w:rPr>
      </w:r>
    </w:p>
    <w:p w:rsidR="00000000" w:rsidDel="00000000" w:rsidP="00000000" w:rsidRDefault="00000000" w:rsidRPr="00000000" w14:paraId="000000A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tPiusf82JrY0+kgtC4qxvzLOlw==">AMUW2mWIl62CYVXHu3wdPR3dPJBBXAEqf57lYZQWSx18Ut04ej7mL+yGVqzrW9/sA0bGQSljQBnCUCmJMxu5mTFVFkEFgHvJiAGdOiolVQ/iaKk5t2+aJSM7X/L2lHZ36Qzgcyq36enN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2020-03-03T16:42:00Z</dcterms:created>
  <dc:creator>SESAU</dc:creator>
</cp:coreProperties>
</file>