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322/2020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443/2019</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0033.003984/2020-55</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Materiais Permanentes (FREEZERS, REFRIGERADORES E FRIGOBAR), a pedido da Secretaria de Estado da Justiça-SEJUS</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Materiais Permanentes (FREEZERS, REFRIGERADORES E FRIGOBAR), a pedido da Secretaria de Estado da Justiça-SEJU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Num prazo máximo de 30 dias a contar do recebimento da nota de empenho.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r w:rsidDel="00000000" w:rsidR="00000000" w:rsidRPr="00000000">
        <w:rPr>
          <w:rFonts w:ascii="Arial" w:cs="Arial" w:eastAsia="Arial" w:hAnsi="Arial"/>
          <w:sz w:val="16"/>
          <w:szCs w:val="16"/>
          <w:rtl w:val="0"/>
        </w:rPr>
        <w:t xml:space="preserve">, como nas formas habituais.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 e IV, da Lei nº 8.666/93, pela inexecução contratual ou parcial do contrato, a Administração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w:t>
      </w:r>
      <w:r w:rsidDel="00000000" w:rsidR="00000000" w:rsidRPr="00000000">
        <w:rPr>
          <w:rFonts w:ascii="Arial" w:cs="Arial" w:eastAsia="Arial" w:hAnsi="Arial"/>
          <w:i w:val="1"/>
          <w:sz w:val="16"/>
          <w:szCs w:val="16"/>
          <w:rtl w:val="0"/>
        </w:rPr>
        <w:t xml:space="preserve">CAGEFIMP</w:t>
      </w:r>
      <w:r w:rsidDel="00000000" w:rsidR="00000000" w:rsidRPr="00000000">
        <w:rPr>
          <w:rFonts w:ascii="Arial" w:cs="Arial" w:eastAsia="Arial" w:hAnsi="Arial"/>
          <w:sz w:val="16"/>
          <w:szCs w:val="16"/>
          <w:rtl w:val="0"/>
        </w:rPr>
        <w:t xml:space="preserve"> (Cadastro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9.8.São exemplos de infração administrativa penalizáveis, nos termos da Lei nº 8.666, de 1993, da Lei nº 10.520, de 2002, regulamentada na esfera estadual pelos Decretos Estaduais N. 12.234/2006 e 12.205/06, e do Decreto nº 10.024 de 20 de Setembro de 2019:</w:t>
      </w:r>
    </w:p>
    <w:p w:rsidR="00000000" w:rsidDel="00000000" w:rsidP="00000000" w:rsidRDefault="00000000" w:rsidRPr="00000000" w14:paraId="00000039">
      <w:pPr>
        <w:numPr>
          <w:ilvl w:val="0"/>
          <w:numId w:val="2"/>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A">
      <w:pPr>
        <w:numPr>
          <w:ilvl w:val="0"/>
          <w:numId w:val="2"/>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falso;</w:t>
      </w:r>
    </w:p>
    <w:p w:rsidR="00000000" w:rsidDel="00000000" w:rsidP="00000000" w:rsidRDefault="00000000" w:rsidRPr="00000000" w14:paraId="0000003B">
      <w:pPr>
        <w:numPr>
          <w:ilvl w:val="0"/>
          <w:numId w:val="2"/>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C">
      <w:pPr>
        <w:numPr>
          <w:ilvl w:val="0"/>
          <w:numId w:val="2"/>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D">
      <w:pPr>
        <w:numPr>
          <w:ilvl w:val="0"/>
          <w:numId w:val="2"/>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 com percentuais de multa conforme a tabela a seguir, que elenca apenas as principais situações previstas, não eximindo de outras equivalentes que surgirem, conforme o caso:</w:t>
      </w:r>
    </w:p>
    <w:tbl>
      <w:tblPr>
        <w:tblStyle w:val="Table1"/>
        <w:tblW w:w="969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10"/>
        <w:gridCol w:w="6950"/>
        <w:gridCol w:w="950"/>
        <w:gridCol w:w="1085"/>
        <w:tblGridChange w:id="0">
          <w:tblGrid>
            <w:gridCol w:w="710"/>
            <w:gridCol w:w="6950"/>
            <w:gridCol w:w="950"/>
            <w:gridCol w:w="1085"/>
          </w:tblGrid>
        </w:tblGridChange>
      </w:tblGrid>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4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15" w:hRule="atLeast"/>
        </w:trPr>
        <w:tc>
          <w:tcPr>
            <w:gridSpan w:val="4"/>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4">
      <w:pPr>
        <w:spacing w:after="240" w:before="240" w:lineRule="auto"/>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7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sanção será obrigatoriamente registrada no Sistema de Cadastramento Unificado de Fornecedores – SICAF, bem como em sistemas Estaduais e, no caso de suspensão de licitar, a CONTRATADA será descredenciada por até 05 (cinco) anos, sem prejuízo das multas previstas neste Edital e das demais cominações legais.</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000000" w:rsidDel="00000000" w:rsidP="00000000" w:rsidRDefault="00000000" w:rsidRPr="00000000" w14:paraId="0000007B">
      <w:pPr>
        <w:numPr>
          <w:ilvl w:val="0"/>
          <w:numId w:val="1"/>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C">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7D">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7E">
      <w:pPr>
        <w:spacing w:after="0" w:before="0" w:lineRule="auto"/>
        <w:ind w:left="0" w:right="120" w:firstLine="0"/>
        <w:jc w:val="both"/>
        <w:rPr>
          <w:rFonts w:ascii="Arial" w:cs="Arial" w:eastAsia="Arial" w:hAnsi="Arial"/>
          <w:sz w:val="16"/>
          <w:szCs w:val="16"/>
          <w:u w:val="single"/>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tab/>
        <w:tab/>
        <w:tab/>
      </w:r>
    </w:p>
    <w:p w:rsidR="00000000" w:rsidDel="00000000" w:rsidP="00000000" w:rsidRDefault="00000000" w:rsidRPr="00000000" w14:paraId="000000A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9">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C">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pQaU0ZpadfonRjXa1S82LTxH+w==">AMUW2mWb+pZfva1pBv2cRmGO9Cc8MHBi3yPVwAKBOx6YQjCfte15qzkRFHjTtK6e3VbIymu6HNmh8fyGrjYOkhQEqqtGs/91tbuEC3DDgiK46RCE5pabYqKIHNiP7sAYpm1Fv174DX/hdr8b8/GUeseWVRK7pevDsQ==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